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sz w:val="36"/>
        </w:rPr>
        <w:t>Ian Cowpar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PM building at principal scope  |  AI-fluent prototyping  |  data products with opinion  |  zero-translation systems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ian.cowpar@gmail.com  |  351-235-0365  |  linkedin.com/in/ian-cowpar  |  theunofficialleader.substack.com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SUMMARY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Principal-scope PM building data products, AI tooling, and self-serve flows that translate field insight into buildable product. Two years at UKG protecting 300 enterprise customers ($250M ARR) through migration off legacy workforce management — built the data products that let services and engineering catch problems before customers felt them, scaled UKG product's first organized AI capability layer without a top-down mandate, and shipped a 0→1 migration tool with the prototype I wrote myself in Claude Code. Ten years prior at Broadridge: 40+ enterprise deployments in compliance-grade financial services. Originator of the Zero-Translation Building framework — the discipline of closing the gap between what the field needs and what gets built.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EXPERIENCE</w:t>
      </w:r>
    </w:p>
    <w:p>
      <w:pPr>
        <w:spacing w:before="40" w:after="0"/>
      </w:pPr>
      <w:r>
        <w:rPr>
          <w:rFonts w:ascii="Calibri" w:hAnsi="Calibri"/>
          <w:b/>
          <w:i w:val="0"/>
        </w:rPr>
        <w:t>Senior Product Manager</w:t>
      </w:r>
      <w:r>
        <w:rPr>
          <w:rFonts w:ascii="Calibri" w:hAnsi="Calibri"/>
          <w:b w:val="0"/>
          <w:i w:val="0"/>
        </w:rPr>
        <w:t xml:space="preserve">    Jun 2024 – Apr 2026</w:t>
      </w:r>
    </w:p>
    <w:p>
      <w:pPr>
        <w:spacing w:before="0" w:after="60"/>
      </w:pPr>
      <w:r>
        <w:rPr>
          <w:rFonts w:ascii="Calibri" w:hAnsi="Calibri"/>
          <w:b w:val="0"/>
          <w:i/>
        </w:rPr>
        <w:t>UKG  |  Lowell, MA  |  $250M ARR  |  Data products, AI tooling, and self-serve flows protecting enterprise customers through migration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a 0→1 self-serve migration tool, idea to production. </w:t>
      </w:r>
      <w:r>
        <w:rPr>
          <w:rFonts w:ascii="Calibri" w:hAnsi="Calibri"/>
          <w:b w:val="0"/>
          <w:i w:val="0"/>
        </w:rPr>
        <w:t>Took it from concept through three business-epic decomposition (UI, rules, deployment), wrote the working prototype myself in Claude Code, designed the UX feedback loop and persona, and handed engineering the full delivery package — bepics, epics, stories, Gantt, roadmap. Now in active production; the Services org runs migrations independently without an engineering ticket.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UKG product's first organized AI capability layer. </w:t>
      </w:r>
      <w:r>
        <w:rPr>
          <w:rFonts w:ascii="Calibri" w:hAnsi="Calibri"/>
          <w:b w:val="0"/>
          <w:i w:val="0"/>
        </w:rPr>
        <w:t>Designed as shared infrastructure rather than personal tooling — generalizable across the team, not one-off builds. Scaled into team-wide shared capability without a top-down mandate. Adoption spread because the thing worked better than what it replaced — the only kind of adoption that lasts.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Designed a five-panel operational analytics product </w:t>
      </w:r>
      <w:r>
        <w:rPr>
          <w:rFonts w:ascii="Calibri" w:hAnsi="Calibri"/>
          <w:b w:val="0"/>
          <w:i w:val="0"/>
        </w:rPr>
        <w:t>classifying open issues across customer escalations, code defects, internal bugs, CVEs, and noise across four products; auto-refreshed daily, with a Claude Code function I built into the tool surfacing the single highest-leverage action per panel. Opinionated routing, not a dashboard.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Designed sprint health instrumentation </w:t>
      </w:r>
      <w:r>
        <w:rPr>
          <w:rFonts w:ascii="Calibri" w:hAnsi="Calibri"/>
          <w:b w:val="0"/>
          <w:i w:val="0"/>
        </w:rPr>
        <w:t>refreshing every 15 minutes across two engineering teams, with documented rejection criteria for burndown, velocity, and story-point anti-patterns — each with technical rationale. Built for signal, not ceremony.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Led ARR-focused risk tracking for the UTA upgrade program: </w:t>
      </w:r>
      <w:r>
        <w:rPr>
          <w:rFonts w:ascii="Calibri" w:hAnsi="Calibri"/>
          <w:b w:val="0"/>
          <w:i w:val="0"/>
        </w:rPr>
        <w:t>automated weekly reporting routes every open blocker to the program lead; live tracking surfaces aging issues before escalation.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Served as the product-side voice on enterprise customer escalation and pre-upgrade calls </w:t>
      </w:r>
      <w:r>
        <w:rPr>
          <w:rFonts w:ascii="Calibri" w:hAnsi="Calibri"/>
          <w:b w:val="0"/>
          <w:i w:val="0"/>
        </w:rPr>
        <w:t>— running structured synthesis of what 300 UTA customers ($250M ARR) actually needed versus what was on the roadmap, feeding that gap back into prioritization decisions.</w:t>
      </w:r>
    </w:p>
    <w:p>
      <w:pPr>
        <w:spacing w:before="0" w:after="40"/>
      </w:pPr>
      <w:r>
        <w:rPr>
          <w:rFonts w:ascii="Calibri" w:hAnsi="Calibri"/>
          <w:b w:val="0"/>
          <w:i/>
        </w:rPr>
        <w:t>Brand Champion, UKG North America Regional Lead 2026  |  Fire Up ERG (women and allies), Business Innovation workstream lead</w:t>
      </w:r>
    </w:p>
    <w:p>
      <w:pPr>
        <w:spacing w:before="80" w:after="0"/>
      </w:pPr>
      <w:r>
        <w:rPr>
          <w:rFonts w:ascii="Calibri" w:hAnsi="Calibri"/>
          <w:b/>
          <w:i w:val="0"/>
        </w:rPr>
        <w:t>Business Analyst</w:t>
      </w:r>
      <w:r>
        <w:rPr>
          <w:rFonts w:ascii="Calibri" w:hAnsi="Calibri"/>
          <w:b w:val="0"/>
          <w:i w:val="0"/>
        </w:rPr>
        <w:t xml:space="preserve">    Jan 2014 – Jun 2024</w:t>
      </w:r>
    </w:p>
    <w:p>
      <w:pPr>
        <w:spacing w:before="0" w:after="60"/>
      </w:pPr>
      <w:r>
        <w:rPr>
          <w:rFonts w:ascii="Calibri" w:hAnsi="Calibri"/>
          <w:b w:val="0"/>
          <w:i/>
        </w:rPr>
        <w:t>Broadridge Financial Solutions  |  Andover, MA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Led 40+ enterprise client deployments end-to-end in a compliance-grade financial services environment — forward-deployed, client-facing delivery where requirements came from the field and had to translate into buildable specs.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Internal SME for an omni-channel communication product adopted across the full client base; translated complex compliance capabilities into workflows non-technical buyers could operate without support.</w:t>
      </w:r>
    </w:p>
    <w:p>
      <w:pPr>
        <w:spacing w:before="80" w:after="0"/>
      </w:pPr>
      <w:r>
        <w:rPr>
          <w:rFonts w:ascii="Calibri" w:hAnsi="Calibri"/>
          <w:b/>
          <w:i w:val="0"/>
        </w:rPr>
        <w:t>Sr. Document Development Analyst</w:t>
      </w:r>
      <w:r>
        <w:rPr>
          <w:rFonts w:ascii="Calibri" w:hAnsi="Calibri"/>
          <w:b w:val="0"/>
          <w:i w:val="0"/>
        </w:rPr>
        <w:t xml:space="preserve">    Jan 2006 – Jan 2014</w:t>
      </w:r>
    </w:p>
    <w:p>
      <w:pPr>
        <w:spacing w:before="0" w:after="60"/>
      </w:pPr>
      <w:r>
        <w:rPr>
          <w:rFonts w:ascii="Calibri" w:hAnsi="Calibri"/>
          <w:b w:val="0"/>
          <w:i/>
        </w:rPr>
        <w:t>Broadridge Financial Solutions  |  Andover, MA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SKILLS AND FOCUS AREAS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Product:  </w:t>
      </w:r>
      <w:r>
        <w:rPr>
          <w:rFonts w:ascii="Calibri" w:hAnsi="Calibri"/>
          <w:b w:val="0"/>
          <w:i w:val="0"/>
        </w:rPr>
        <w:t>Backlog ownership, epics / stories / acceptance criteria, principal-scope PM, data products, 0→1 product building, requirements translation from field/SME input, end-to-end delivery from prototype to production, B2B SaaS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AI as Co-Builder:  </w:t>
      </w:r>
      <w:r>
        <w:rPr>
          <w:rFonts w:ascii="Calibri" w:hAnsi="Calibri"/>
          <w:b w:val="0"/>
          <w:i w:val="0"/>
        </w:rPr>
        <w:t>Claude Code prototyping, agentic workflows, LLM-powered feature design, AI-fluent product development, PM automation, zero-translation building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Data &amp; Analytics:  </w:t>
      </w:r>
      <w:r>
        <w:rPr>
          <w:rFonts w:ascii="Calibri" w:hAnsi="Calibri"/>
          <w:b w:val="0"/>
          <w:i w:val="0"/>
        </w:rPr>
        <w:t>Operational analytics products, opinionated instrumentation, KPI definition, automated reporting cadence, qualitative-to-structured synthesis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Compliance &amp; Enterprise:  </w:t>
      </w:r>
      <w:r>
        <w:rPr>
          <w:rFonts w:ascii="Calibri" w:hAnsi="Calibri"/>
          <w:b w:val="0"/>
          <w:i w:val="0"/>
        </w:rPr>
        <w:t>Regulatory-consequence delivery, compliance-grade financial services, multi-stakeholder coordination, forward-deployed client-facing delivery, escalation room presence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Tooling:  </w:t>
      </w:r>
      <w:r>
        <w:rPr>
          <w:rFonts w:ascii="Calibri" w:hAnsi="Calibri"/>
          <w:b w:val="0"/>
          <w:i w:val="0"/>
        </w:rPr>
        <w:t>Jira, Confluence, GitHub, SQL, Slack MCP, Claude Code CLI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EDUCATION</w:t>
      </w:r>
    </w:p>
    <w:p>
      <w:pPr>
        <w:spacing w:before="0" w:after="0"/>
      </w:pPr>
      <w:r>
        <w:rPr>
          <w:rFonts w:ascii="Calibri" w:hAnsi="Calibri"/>
          <w:b/>
          <w:i w:val="0"/>
        </w:rPr>
        <w:t>Bachelor of Science, Management Information Systems and Management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Manning School of Business, UMass Lowell  |  1999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WRITING AND THOUGHT LEADERSHIP</w:t>
      </w:r>
    </w:p>
    <w:p>
      <w:pPr>
        <w:spacing w:before="0" w:after="0"/>
      </w:pPr>
      <w:r>
        <w:rPr>
          <w:rFonts w:ascii="Calibri" w:hAnsi="Calibri"/>
          <w:b/>
          <w:i w:val="0"/>
        </w:rPr>
        <w:t>The Unofficial Leader</w:t>
      </w:r>
      <w:r>
        <w:rPr>
          <w:rFonts w:ascii="Calibri" w:hAnsi="Calibri"/>
          <w:b w:val="0"/>
          <w:i w:val="0"/>
        </w:rPr>
        <w:t xml:space="preserve">  (Substack)  |  theunofficialleader.substack.com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Weekly publication on AI adoption, unofficial leadership, and what's happening beneath the surface of how teams work. Originator of the Zero-Translation Building framework. Active LinkedIn audience engagement on product, AI adoption, and team dynamics.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