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i w:val="0"/>
          <w:sz w:val="36"/>
        </w:rPr>
        <w:t>Ian Cowpar</w:t>
      </w:r>
    </w:p>
    <w:p>
      <w:pPr>
        <w:spacing w:before="0" w:after="40"/>
      </w:pPr>
      <w:r>
        <w:rPr>
          <w:rFonts w:ascii="Calibri" w:hAnsi="Calibri"/>
          <w:b w:val="0"/>
          <w:i w:val="0"/>
        </w:rPr>
        <w:t>Delivery &amp; transformation leader — structure from ambiguity  |  change adoption without authority  |  outcomes over timelines  |  zero-translation building</w:t>
      </w:r>
    </w:p>
    <w:p>
      <w:pPr>
        <w:spacing w:before="0" w:after="80"/>
      </w:pPr>
      <w:r>
        <w:rPr>
          <w:rFonts w:ascii="Calibri" w:hAnsi="Calibri"/>
          <w:b w:val="0"/>
          <w:i w:val="0"/>
        </w:rPr>
        <w:t>ian.cowpar@gmail.com  |  351-235-0365  |  Methuen, MA  |  linkedin.com/in/ian-cowpar</w:t>
      </w:r>
    </w:p>
    <w:p>
      <w:pPr>
        <w:spacing w:before="200" w:after="40"/>
      </w:pPr>
      <w:r>
        <w:rPr>
          <w:rFonts w:ascii="Calibri" w:hAnsi="Calibri"/>
          <w:b/>
          <w:i w:val="0"/>
          <w:sz w:val="22"/>
        </w:rPr>
        <w:t>SUMMARY</w:t>
      </w:r>
    </w:p>
    <w:p>
      <w:pPr>
        <w:spacing w:before="0" w:after="80"/>
      </w:pPr>
      <w:r>
        <w:rPr>
          <w:rFonts w:ascii="Calibri" w:hAnsi="Calibri"/>
          <w:b w:val="0"/>
          <w:i w:val="0"/>
        </w:rPr>
        <w:t>Delivery leader who steps into evolving, ambiguous initiatives and brings structure, alignment, and forward momentum — then owns the outcome, not just the timeline. Two years at UKG bringing order to undefined, high-stakes work inside a $250M ARR enterprise program: built functions from zero with no top-down mandate, drove cross-functional delivery and adoption across product, engineering, and services, and influenced senior stakeholders without direct authority in a highly matrixed organization. A decade prior at Broadridge Financial Solutions leading 40+ enterprise client deployments end-to-end in a compliance-grade, regulated environment. Local to the Commonwealth — Methuen, MA.</w:t>
      </w:r>
    </w:p>
    <w:p>
      <w:pPr>
        <w:spacing w:before="200" w:after="40"/>
      </w:pPr>
      <w:r>
        <w:rPr>
          <w:rFonts w:ascii="Calibri" w:hAnsi="Calibri"/>
          <w:b/>
          <w:i w:val="0"/>
          <w:sz w:val="22"/>
        </w:rPr>
        <w:t>EXPERIENCE</w:t>
      </w:r>
    </w:p>
    <w:p>
      <w:pPr>
        <w:spacing w:before="40" w:after="0"/>
      </w:pPr>
      <w:r>
        <w:rPr>
          <w:rFonts w:ascii="Calibri" w:hAnsi="Calibri"/>
          <w:b/>
          <w:i w:val="0"/>
        </w:rPr>
        <w:t>Senior Product Manager</w:t>
      </w:r>
      <w:r>
        <w:rPr>
          <w:rFonts w:ascii="Calibri" w:hAnsi="Calibri"/>
          <w:b w:val="0"/>
          <w:i w:val="0"/>
        </w:rPr>
        <w:t xml:space="preserve">    Jun 2024 – Apr 2026</w:t>
      </w:r>
    </w:p>
    <w:p>
      <w:pPr>
        <w:spacing w:before="0" w:after="60"/>
      </w:pPr>
      <w:r>
        <w:rPr>
          <w:rFonts w:ascii="Calibri" w:hAnsi="Calibri"/>
          <w:b w:val="0"/>
          <w:i/>
        </w:rPr>
        <w:t>UKG  |  Lowell, MA  |  $250M ARR enterprise program  |  Structure, delivery, and change adoption across product, engineering, and services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i w:val="0"/>
        </w:rPr>
        <w:t xml:space="preserve">Stepped into an undefined 0→1 initiative and brought structure end-to-end. </w:t>
      </w:r>
      <w:r>
        <w:rPr>
          <w:rFonts w:ascii="Calibri" w:hAnsi="Calibri"/>
          <w:b w:val="0"/>
          <w:i w:val="0"/>
        </w:rPr>
        <w:t>Took an ambiguous concept through governance and decomposition (UI, rules, deployment epics), built the working prototype myself, ran the stakeholder feedback loop, and handed a complete delivery package — plans, epics, work breakdown, Gantt, roadmap — engineering-ready in one week. In production with the first cohort: 6 enterprise accounts in flight, business users running it without an engineering ticket. Owned the outcome, not just execution.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i w:val="0"/>
        </w:rPr>
        <w:t xml:space="preserve">Led an organization-wide adoption effort with no mandate behind it. </w:t>
      </w:r>
      <w:r>
        <w:rPr>
          <w:rFonts w:ascii="Calibri" w:hAnsi="Calibri"/>
          <w:b w:val="0"/>
          <w:i w:val="0"/>
        </w:rPr>
        <w:t>Built shared infrastructure 20 colleagues could pull from, ran the first enablement group, and coached individuals through their own use cases. Designed to spread and sustain without a directive — because the only adoption that holds is the kind nobody had to order. Direct change-management proof: people, process, and tooling.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i w:val="0"/>
        </w:rPr>
        <w:t xml:space="preserve">Brought clarity to a chaotic, underdefined problem space. </w:t>
      </w:r>
      <w:r>
        <w:rPr>
          <w:rFonts w:ascii="Calibri" w:hAnsi="Calibri"/>
          <w:b w:val="0"/>
          <w:i w:val="0"/>
        </w:rPr>
        <w:t>Designed a five-panel operational system classifying open issues across escalations, defects, internal bugs, CVEs, and noise across four products; cut a ~200-item working list to a real five so leadership acted on signal, not noise. Opinionated routing, not a dashboard.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i w:val="0"/>
        </w:rPr>
        <w:t xml:space="preserve">Built executive-grade governance and reporting cadence. </w:t>
      </w:r>
      <w:r>
        <w:rPr>
          <w:rFonts w:ascii="Calibri" w:hAnsi="Calibri"/>
          <w:b w:val="0"/>
          <w:i w:val="0"/>
        </w:rPr>
        <w:t>Created a composite risk model scoring the top accounts on exposure, case volume, true-defect signal, and sentiment — not raw counts — with automated weekly status that surfaced aging risks and routed every blocker to the program lead before escalation.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i w:val="0"/>
        </w:rPr>
        <w:t xml:space="preserve">Designed delivery-health instrumentation </w:t>
      </w:r>
      <w:r>
        <w:rPr>
          <w:rFonts w:ascii="Calibri" w:hAnsi="Calibri"/>
          <w:b w:val="0"/>
          <w:i w:val="0"/>
        </w:rPr>
        <w:t>refreshing every 15 minutes across two teams, with documented criteria for burndown, velocity, and delivery anti-patterns — process governance built for signal, not ceremony.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i w:val="0"/>
        </w:rPr>
        <w:t xml:space="preserve">Operated in the executive escalation room </w:t>
      </w:r>
      <w:r>
        <w:rPr>
          <w:rFonts w:ascii="Calibri" w:hAnsi="Calibri"/>
          <w:b w:val="0"/>
          <w:i w:val="0"/>
        </w:rPr>
        <w:t>— synthesizing what 300 enterprise customers ($250M ARR) needed versus what was committed, building alignment across groups with competing priorities, and stabilizing at-risk delivery.</w:t>
      </w:r>
    </w:p>
    <w:p>
      <w:pPr>
        <w:spacing w:before="80" w:after="0"/>
      </w:pPr>
      <w:r>
        <w:rPr>
          <w:rFonts w:ascii="Calibri" w:hAnsi="Calibri"/>
          <w:b/>
          <w:i w:val="0"/>
        </w:rPr>
        <w:t>Business Analyst</w:t>
      </w:r>
      <w:r>
        <w:rPr>
          <w:rFonts w:ascii="Calibri" w:hAnsi="Calibri"/>
          <w:b w:val="0"/>
          <w:i w:val="0"/>
        </w:rPr>
        <w:t xml:space="preserve">    Jan 2014 – Jun 2024</w:t>
      </w:r>
    </w:p>
    <w:p>
      <w:pPr>
        <w:spacing w:before="0" w:after="60"/>
      </w:pPr>
      <w:r>
        <w:rPr>
          <w:rFonts w:ascii="Calibri" w:hAnsi="Calibri"/>
          <w:b w:val="0"/>
          <w:i/>
        </w:rPr>
        <w:t>Broadridge Financial Solutions  |  Andover, MA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</w:rPr>
        <w:t>Led 40+ enterprise client deployments end-to-end in a compliance-grade, regulated financial services environment — scope definition through delivery, with stakeholder alignment, governance, and technical-and-business alignment owned throughout.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</w:rPr>
        <w:t>Influenced cross-functional teams and senior client stakeholders without direct authority; translated loosely defined business needs into structured plans and actionable deliverables.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</w:rPr>
        <w:t>Internal SME for an omni-channel product adopted across the full client base; drove process redesign and adoption, turning complex regulated capabilities into workflows non-technical users could operate without support.</w:t>
      </w:r>
    </w:p>
    <w:p>
      <w:pPr>
        <w:spacing w:before="80" w:after="0"/>
      </w:pPr>
      <w:r>
        <w:rPr>
          <w:rFonts w:ascii="Calibri" w:hAnsi="Calibri"/>
          <w:b/>
          <w:i w:val="0"/>
        </w:rPr>
        <w:t>Sr. Document Development Analyst</w:t>
      </w:r>
      <w:r>
        <w:rPr>
          <w:rFonts w:ascii="Calibri" w:hAnsi="Calibri"/>
          <w:b w:val="0"/>
          <w:i w:val="0"/>
        </w:rPr>
        <w:t xml:space="preserve">    Jan 2006 – Jan 2014</w:t>
      </w:r>
    </w:p>
    <w:p>
      <w:pPr>
        <w:spacing w:before="0" w:after="60"/>
      </w:pPr>
      <w:r>
        <w:rPr>
          <w:rFonts w:ascii="Calibri" w:hAnsi="Calibri"/>
          <w:b w:val="0"/>
          <w:i/>
        </w:rPr>
        <w:t>Broadridge Financial Solutions  |  Andover, MA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</w:rPr>
        <w:t>Built and maintained complex client-facing systems in a regulated financial services environment — the governance and requirements-rigor foundation the later deployment-leadership work was built on.</w:t>
      </w:r>
    </w:p>
    <w:p>
      <w:pPr>
        <w:spacing w:before="200" w:after="40"/>
      </w:pPr>
      <w:r>
        <w:rPr>
          <w:rFonts w:ascii="Calibri" w:hAnsi="Calibri"/>
          <w:b/>
          <w:i w:val="0"/>
          <w:sz w:val="22"/>
        </w:rPr>
        <w:t>SKILLS AND FOCUS AREAS</w:t>
      </w:r>
    </w:p>
    <w:p>
      <w:pPr>
        <w:spacing w:before="0" w:after="60"/>
      </w:pPr>
      <w:r>
        <w:rPr>
          <w:rFonts w:ascii="Calibri" w:hAnsi="Calibri"/>
          <w:b/>
          <w:i w:val="0"/>
        </w:rPr>
        <w:t xml:space="preserve">Delivery &amp; Program Leadership:  </w:t>
      </w:r>
      <w:r>
        <w:rPr>
          <w:rFonts w:ascii="Calibri" w:hAnsi="Calibri"/>
          <w:b w:val="0"/>
          <w:i w:val="0"/>
        </w:rPr>
        <w:t>Enterprise-scale initiative delivery, structure from ambiguity, scope/governance definition where process doesn't yet exist, owning outcomes not just execution, at-risk stabilization, multi-initiative portfolio operation</w:t>
      </w:r>
    </w:p>
    <w:p>
      <w:pPr>
        <w:spacing w:before="0" w:after="60"/>
      </w:pPr>
      <w:r>
        <w:rPr>
          <w:rFonts w:ascii="Calibri" w:hAnsi="Calibri"/>
          <w:b/>
          <w:i w:val="0"/>
        </w:rPr>
        <w:t xml:space="preserve">Change Management &amp; Adoption:  </w:t>
      </w:r>
      <w:r>
        <w:rPr>
          <w:rFonts w:ascii="Calibri" w:hAnsi="Calibri"/>
          <w:b w:val="0"/>
          <w:i w:val="0"/>
        </w:rPr>
        <w:t>Organizational change across people/process/technology, stakeholder engagement and communication strategy, adoption design that sustains without mandate, resistance identification and mitigation</w:t>
      </w:r>
    </w:p>
    <w:p>
      <w:pPr>
        <w:spacing w:before="0" w:after="60"/>
      </w:pPr>
      <w:r>
        <w:rPr>
          <w:rFonts w:ascii="Calibri" w:hAnsi="Calibri"/>
          <w:b/>
          <w:i w:val="0"/>
        </w:rPr>
        <w:t xml:space="preserve">Stakeholder &amp; Executive Engagement:  </w:t>
      </w:r>
      <w:r>
        <w:rPr>
          <w:rFonts w:ascii="Calibri" w:hAnsi="Calibri"/>
          <w:b w:val="0"/>
          <w:i w:val="0"/>
        </w:rPr>
        <w:t>Influence without authority in highly matrixed orgs, executive-level presentations and concise written reporting, alignment across executives, technical teams, vendors, and business partners</w:t>
      </w:r>
    </w:p>
    <w:p>
      <w:pPr>
        <w:spacing w:before="0" w:after="60"/>
      </w:pPr>
      <w:r>
        <w:rPr>
          <w:rFonts w:ascii="Calibri" w:hAnsi="Calibri"/>
          <w:b/>
          <w:i w:val="0"/>
        </w:rPr>
        <w:t xml:space="preserve">Governance &amp; Methodology:  </w:t>
      </w:r>
      <w:r>
        <w:rPr>
          <w:rFonts w:ascii="Calibri" w:hAnsi="Calibri"/>
          <w:b w:val="0"/>
          <w:i w:val="0"/>
        </w:rPr>
        <w:t>Agile/Scrum, Waterfall, and hybrid delivery; enterprise governance frameworks; project artifacts (plans, timelines, budgets, executive comms); risk and dependency management; post-implementation review and PMO-process improvement</w:t>
      </w:r>
    </w:p>
    <w:p>
      <w:pPr>
        <w:spacing w:before="0" w:after="60"/>
      </w:pPr>
      <w:r>
        <w:rPr>
          <w:rFonts w:ascii="Calibri" w:hAnsi="Calibri"/>
          <w:b/>
          <w:i w:val="0"/>
        </w:rPr>
        <w:t xml:space="preserve">Technical &amp; AI Fluency:  </w:t>
      </w:r>
      <w:r>
        <w:rPr>
          <w:rFonts w:ascii="Calibri" w:hAnsi="Calibri"/>
          <w:b w:val="0"/>
          <w:i w:val="0"/>
        </w:rPr>
        <w:t>Enterprise systems and integration tradeoffs, business process mapping and workflow optimization, AI-fluent prototyping (Claude Code), data and analytics, requirements engineering</w:t>
      </w:r>
    </w:p>
    <w:p>
      <w:pPr>
        <w:spacing w:before="0" w:after="60"/>
      </w:pPr>
      <w:r>
        <w:rPr>
          <w:rFonts w:ascii="Calibri" w:hAnsi="Calibri"/>
          <w:b/>
          <w:i w:val="0"/>
        </w:rPr>
        <w:t xml:space="preserve">Tooling:  </w:t>
      </w:r>
      <w:r>
        <w:rPr>
          <w:rFonts w:ascii="Calibri" w:hAnsi="Calibri"/>
          <w:b w:val="0"/>
          <w:i w:val="0"/>
        </w:rPr>
        <w:t>Jira, Confluence, Microsoft Project–class planning, SQL, GitHub</w:t>
      </w:r>
    </w:p>
    <w:p>
      <w:pPr>
        <w:spacing w:before="200" w:after="40"/>
      </w:pPr>
      <w:r>
        <w:rPr>
          <w:rFonts w:ascii="Calibri" w:hAnsi="Calibri"/>
          <w:b/>
          <w:i w:val="0"/>
          <w:sz w:val="22"/>
        </w:rPr>
        <w:t>EDUCATION</w:t>
      </w:r>
    </w:p>
    <w:p>
      <w:pPr>
        <w:spacing w:before="0" w:after="0"/>
      </w:pPr>
      <w:r>
        <w:rPr>
          <w:rFonts w:ascii="Calibri" w:hAnsi="Calibri"/>
          <w:b/>
          <w:i w:val="0"/>
        </w:rPr>
        <w:t>Bachelor of Science, Management Information Systems and Management</w:t>
      </w:r>
    </w:p>
    <w:p>
      <w:pPr>
        <w:spacing w:before="0" w:after="40"/>
      </w:pPr>
      <w:r>
        <w:rPr>
          <w:rFonts w:ascii="Calibri" w:hAnsi="Calibri"/>
          <w:b w:val="0"/>
          <w:i w:val="0"/>
        </w:rPr>
        <w:t>Manning School of Business, UMass Lowell  |  1999</w:t>
      </w:r>
    </w:p>
    <w:p>
      <w:pPr>
        <w:spacing w:before="200" w:after="40"/>
      </w:pPr>
      <w:r>
        <w:rPr>
          <w:rFonts w:ascii="Calibri" w:hAnsi="Calibri"/>
          <w:b/>
          <w:i w:val="0"/>
          <w:sz w:val="22"/>
        </w:rPr>
        <w:t>WRITING AND THOUGHT LEADERSHIP</w:t>
      </w:r>
    </w:p>
    <w:p>
      <w:pPr>
        <w:spacing w:before="0" w:after="0"/>
      </w:pPr>
      <w:r>
        <w:rPr>
          <w:rFonts w:ascii="Calibri" w:hAnsi="Calibri"/>
          <w:b/>
          <w:i w:val="0"/>
        </w:rPr>
        <w:t>The Unofficial Leader</w:t>
      </w:r>
      <w:r>
        <w:rPr>
          <w:rFonts w:ascii="Calibri" w:hAnsi="Calibri"/>
          <w:b w:val="0"/>
          <w:i w:val="0"/>
        </w:rPr>
        <w:t xml:space="preserve">  (Substack)  |  theunofficialleader.substack.com</w:t>
      </w:r>
    </w:p>
    <w:p>
      <w:pPr>
        <w:spacing w:before="0" w:after="40"/>
      </w:pPr>
      <w:r>
        <w:rPr>
          <w:rFonts w:ascii="Calibri" w:hAnsi="Calibri"/>
          <w:b w:val="0"/>
          <w:i w:val="0"/>
        </w:rPr>
        <w:t>Weekly publication on change adoption, unofficial leadership, and what's happening beneath the surface of how teams work. Originator of the Zero-Translation Building framework.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