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Technical-domain PM  |  AI as core multiplier  |  turns ambiguous systems problems into product direction  |  async-native, zero-translation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turns ambiguous, technical problems into clear product direction — partnering shoulder-to-shoulder with deeply technical engineering teams, not adjacent to them. I ship the working prototype, not just the spec: I wrote a 0→1 platform-migration tool's prototype myself in Claude Code, and it's in production today. Two years at UKG inside a $250M ARR enterprise platform program; a decade prior at Broadridge in compliance-grade financial services, where regional, regulatory, and operational constraints were the product, not a footnote. Async-native — my entire career has run across distributed teams and time zones — and AI-forward by default: I built an organization's first organized AI capability layer and write weekly on AI as a productivity multiplier.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Remote / Lowell, MA  |  $250M ARR platform program  |  Platform migration tooling, AI capability, and technical product direction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Took an ambiguous platform-migration problem from concept to a deployment model engineering could build on. </w:t>
      </w:r>
      <w:r>
        <w:rPr>
          <w:rFonts w:ascii="Calibri" w:hAnsi="Calibri"/>
          <w:b w:val="0"/>
          <w:i w:val="0"/>
        </w:rPr>
        <w:t>Customers and their configuration had to move between deployment environments — previously a ticket-gated, engineering-run extraction and old-to-new structure mapping. I decomposed the problem (UI, rules, deployment), wrote the working prototype myself in Claude Code, defined requirements with the platform architect, and delivered a complete package — epics, stories, sequencing, roadmap. In production: tenant moves run self-serve, engineering out of the critical path.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organization's first organized AI capability layer. </w:t>
      </w:r>
      <w:r>
        <w:rPr>
          <w:rFonts w:ascii="Calibri" w:hAnsi="Calibri"/>
          <w:b w:val="0"/>
          <w:i w:val="0"/>
        </w:rPr>
        <w:t>Started as a personal automation library; built it into shared infrastructure 20 PMs could pull from, ran the first peer group, configured it with individual PMs for their own workflows. Spread without a mandate — the shared-ownership-pool model, before it had that name: build where it has the most impact, make it reusable, let it propagate.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Turned a chaotic technical signal problem into product clarity </w:t>
      </w:r>
      <w:r>
        <w:rPr>
          <w:rFonts w:ascii="Calibri" w:hAnsi="Calibri"/>
          <w:b w:val="0"/>
          <w:i w:val="0"/>
        </w:rPr>
        <w:t>— a five-panel system classifying open issues across escalations, defects, internal bugs, CVEs, and noise across four products, with a Claude Code function surfacing the single highest-leverage action per panel. Cut a ~200-item working list to a real five so engineering acted on signal, not noise.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composite risk model </w:t>
      </w:r>
      <w:r>
        <w:rPr>
          <w:rFonts w:ascii="Calibri" w:hAnsi="Calibri"/>
          <w:b w:val="0"/>
          <w:i w:val="0"/>
        </w:rPr>
        <w:t>scoring the top accounts on exposure, case volume, true-defect signal, and sentiment — not raw counts — with automated reporting that surfaced aging technical risk before it escalated.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delivery-health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delivery anti-patterns — each with technical rationale.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Was the product-side voice in the engineering escalation room </w:t>
      </w:r>
      <w:r>
        <w:rPr>
          <w:rFonts w:ascii="Calibri" w:hAnsi="Calibri"/>
          <w:b w:val="0"/>
          <w:i w:val="0"/>
        </w:rPr>
        <w:t>— synthesizing what 300 enterprise customers ($250M ARR) needed (including regional, compliance, and operational requirements) against what was committed, and feeding that into prioritization and tradeoff decisions.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compliance-grade, regulated environment; partnered deeply with engineering on system behavior, data flows, integration dependencies, and isolation/regional handling, building credibility in system-design and deployment discussions.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platform adopted across the full client base; translated complex technical and compliance constraints into clear product direction non-technical stakeholders could act on.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Turning ambiguous technical problems into product strategy and actionable plans, 0→1 product building, requirements definition with engineering, prioritization and tradeoff facilitation, shared-ownership delivery models, async distributed collaboration,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Core Multiplier:  </w:t>
      </w:r>
      <w:r>
        <w:rPr>
          <w:rFonts w:ascii="Calibri" w:hAnsi="Calibri"/>
          <w:b w:val="0"/>
          <w:i w:val="0"/>
        </w:rPr>
        <w:t>Claude Code prototyping, AI embedded in daily workflow by default, AI capability enablement at org scale, agentic workflows, AI-fluent product development,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&amp; Systems Fluency:  </w:t>
      </w:r>
      <w:r>
        <w:rPr>
          <w:rFonts w:ascii="Calibri" w:hAnsi="Calibri"/>
          <w:b w:val="0"/>
          <w:i w:val="0"/>
        </w:rPr>
        <w:t>Partnering with deeply technical engineering teams, system-behavior and integration tradeoffs, data flows and migration between environments, deployment-model and platform product thinking, APIs, requirements engineering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Operational:  </w:t>
      </w:r>
      <w:r>
        <w:rPr>
          <w:rFonts w:ascii="Calibri" w:hAnsi="Calibri"/>
          <w:b w:val="0"/>
          <w:i w:val="0"/>
        </w:rPr>
        <w:t>Compliance-grade regulated delivery, regional / isolation / operational-readiness requirements, regulatory-consequence rigor, executive and cross-functional stakeholder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Communication:  </w:t>
      </w:r>
      <w:r>
        <w:rPr>
          <w:rFonts w:ascii="Calibri" w:hAnsi="Calibri"/>
          <w:b w:val="0"/>
          <w:i w:val="0"/>
        </w:rPr>
        <w:t>Clear written and verbal explanation of complex technical topics to varied audiences, executive-level synthesis, weekly published technical writing, distributed-team documentation discipline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 as a productivity multiplier, distributed/async work, and what's happening beneath the surface of how technical teams operate. Originator of the Zero-Translation Building framework.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