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Strategic operator  |  technical translator  |  AI-fluent execution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Strategic operator with 20+ years of experience translating between executive vision and ground-level execution. Two years at UKG operating at the seam between Product, Services, and Engineering during a multi-year $250M ARR migration — coordinating cross-functional execution across 300 enterprise customers, scaling UKG product's first organized AI capability layer without a top-down mandate, and shipping a 0→1 product I wrote the working prototype for myself in Claude Code. Ten years prior at Broadridge Financial Solutions: 40+ enterprise client deployments in compliance-grade environments where regulatory consequence sharpened the synthesis, stakeholder-management, and operating-discipline instincts that translate directly to a Chief of Staff function.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Cross-functional execution, AI-fluent strategy, and operating discipline at the seam between Product, Services, and Engineering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 Ran peer groups to make sure the practice stuck across the team.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Owned a 0→1 self-serve migration product,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 Built for the way executive stakeholders actually want to see a portfolio.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 The synthesis and exec-room composure that translate directly to a Chief of Staff function.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CVEs, and noise across four products; auto-refreshed daily, with a Claude Code function I built into the tool surfacing the single highest-leverage action per panel.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multi-stakeholder coordination, and the difference between a delivery that closes and a program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and executives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building, enterprise AI adoption strategy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Strategy &amp; Execution:  </w:t>
      </w:r>
      <w:r>
        <w:rPr>
          <w:rFonts w:ascii="Calibri" w:hAnsi="Calibri"/>
          <w:b w:val="0"/>
          <w:i w:val="0"/>
        </w:rPr>
        <w:t>Strategic initiative ownership, 0→1 product building, MVP definition, end-to-end delivery from prototype to production, complex program management, modern collaboration tooling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presence, exec-room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enterprise AI adoption, executive technology strategy,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