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Cresta</w:t>
      </w:r>
    </w:p>
    <w:p>
      <w:pPr>
        <w:spacing w:after="200" w:line="276" w:lineRule="auto"/>
      </w:pPr>
      <w:r>
        <w:rPr>
          <w:rFonts w:ascii="Calibri" w:hAnsi="Calibri"/>
          <w:i w:val="0"/>
        </w:rPr>
        <w:t xml:space="preserve">The line in your JD that decided it for me was </w:t>
      </w:r>
      <w:r>
        <w:rPr>
          <w:rFonts w:ascii="Calibri" w:hAnsi="Calibri"/>
          <w:i/>
        </w:rPr>
        <w:t>"You do not need to be an IAM expert on day one… you should be comfortable digging into technical systems, partnering closely with engineering, asking sharp questions, and making clear product decisions in ambiguous areas."</w:t>
      </w:r>
      <w:r>
        <w:rPr>
          <w:rFonts w:ascii="Calibri" w:hAnsi="Calibri"/>
          <w:i w:val="0"/>
        </w:rPr>
        <w:t xml:space="preserve"> Most platform PM postings bury the real requirement under a wishlist of acronyms. This one names it: technical fluency, ownership, and judgment in ambiguous systems-level spaces. That's the profile I am — so let me be direct about both halves.</w:t>
      </w:r>
    </w:p>
    <w:p>
      <w:pPr>
        <w:spacing w:after="200" w:line="276" w:lineRule="auto"/>
      </w:pPr>
      <w:r>
        <w:rPr>
          <w:rFonts w:ascii="Calibri" w:hAnsi="Calibri"/>
          <w:i w:val="0"/>
        </w:rPr>
        <w:t>The honest gap first: I have not been an IAM product manager. RBAC, SCIM, SSO flows, provisioning — I know the concepts and the security posture around them from a decade in compliance-grade financial services, but I haven't owned them as a product surface. Your JD says that's acceptable on day one. I'd rather state it plainly than pad it.</w:t>
      </w:r>
    </w:p>
    <w:p>
      <w:pPr>
        <w:spacing w:after="200" w:line="276" w:lineRule="auto"/>
      </w:pPr>
      <w:r>
        <w:rPr>
          <w:rFonts w:ascii="Calibri" w:hAnsi="Calibri"/>
          <w:i w:val="0"/>
        </w:rPr>
        <w:t>What I bring to the part you said actually matters: I dig into technical systems and build, not just spec. At UKG I owned a 0→1 self-serve migration tool end-to-end — I wrote the working prototype myself in Claude Code, reasoned through the rules engine and deployment logic with engineering, and went idea-to-engineering-ready in a week. I build with the systems, not adjacent to them. And I have real proximity to your integration surface: UKG is an HRIS — one of the exact enterprise systems (HRIS, CCaaS, ITSM, identity providers) this role integrates with for access and provisioning. I've worked inside the workforce-identity environment your customers will be wiring into.</w:t>
      </w:r>
    </w:p>
    <w:p>
      <w:pPr>
        <w:spacing w:after="200" w:line="276" w:lineRule="auto"/>
      </w:pPr>
      <w:r>
        <w:rPr>
          <w:rFonts w:ascii="Calibri" w:hAnsi="Calibri"/>
          <w:i w:val="0"/>
        </w:rPr>
        <w:t>The ambiguity-and-ownership half is the through-line of my last two years. I built UKG product's first organized AI capability layer from nothing — no mandate, no template — because the team needed it and no one else was going to. I bring structure to undefined problems and drive decisions across parallel workstreams; that's the job you're describing under the IAM label.</w:t>
      </w:r>
    </w:p>
    <w:p>
      <w:pPr>
        <w:spacing w:after="200" w:line="276" w:lineRule="auto"/>
      </w:pPr>
      <w:r>
        <w:rPr>
          <w:rFonts w:ascii="Calibri" w:hAnsi="Calibri"/>
          <w:i w:val="0"/>
        </w:rPr>
        <w:t>A decade at Broadridge before UKG was implementation and solutions delivery in a regulated environment where access, audit, and least-privilege weren't abstractions — they were the difference between a clean delivery and a regulatory event. That instinct transfers directly to platform IAM.</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