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sz w:val="36"/>
        </w:rPr>
        <w:t>Ian Cowpar</w:t>
      </w:r>
    </w:p>
    <w:p>
      <w:pPr>
        <w:spacing w:before="0" w:after="40"/>
      </w:pPr>
      <w:r>
        <w:rPr>
          <w:rFonts w:ascii="Calibri" w:hAnsi="Calibri"/>
          <w:b w:val="0"/>
          <w:i w:val="0"/>
        </w:rPr>
        <w:t>PM building at principal scope  |  AI-fluent prototyping  |  data products with opinion  |  zero-translation systems</w:t>
      </w:r>
    </w:p>
    <w:p>
      <w:pPr>
        <w:spacing w:before="0" w:after="80"/>
      </w:pPr>
      <w:r>
        <w:rPr>
          <w:rFonts w:ascii="Calibri" w:hAnsi="Calibri"/>
          <w:b w:val="0"/>
          <w:i w:val="0"/>
        </w:rPr>
        <w:t>ian.cowpar@gmail.com  |  351-235-0365  |  linkedin.com/in/ian-cowpar  |  theunofficialleader.substack.com</w:t>
      </w:r>
    </w:p>
    <w:p>
      <w:pPr>
        <w:spacing w:before="200" w:after="40"/>
      </w:pPr>
      <w:r>
        <w:rPr>
          <w:rFonts w:ascii="Calibri" w:hAnsi="Calibri"/>
          <w:b/>
          <w:i w:val="0"/>
          <w:sz w:val="22"/>
        </w:rPr>
        <w:t>SUMMARY</w:t>
      </w:r>
    </w:p>
    <w:p>
      <w:pPr>
        <w:spacing w:before="0" w:after="80"/>
      </w:pPr>
      <w:r>
        <w:rPr>
          <w:rFonts w:ascii="Calibri" w:hAnsi="Calibri"/>
          <w:b w:val="0"/>
          <w:i w:val="0"/>
        </w:rPr>
        <w:t>Senior Product Manager operating at principal scope, building platform tooling, data products, and self-serve flows across compliance-heavy enterprise platforms. I ship the working prototype, not just the spec — I wrote the 0→1 migration tool's prototype myself in Claude Code, and it's in production today. Two years at UKG protecting 300 enterprise customers ($250M ARR) through a multi-year migration off legacy workforce management: owned product strategy and roadmap, ran cross-functional delivery across product, engineering, and services, and scaled the org's first organized AI capability layer without a top-down mandate. Ten years prior at Broadridge: 40+ enterprise implementations in compliance-grade financial services.</w:t>
      </w:r>
    </w:p>
    <w:p>
      <w:pPr>
        <w:spacing w:before="200" w:after="40"/>
      </w:pPr>
      <w:r>
        <w:rPr>
          <w:rFonts w:ascii="Calibri" w:hAnsi="Calibri"/>
          <w:b/>
          <w:i w:val="0"/>
          <w:sz w:val="22"/>
        </w:rPr>
        <w:t>EXPERIENCE</w:t>
      </w:r>
    </w:p>
    <w:p>
      <w:pPr>
        <w:spacing w:before="40" w:after="0"/>
      </w:pPr>
      <w:r>
        <w:rPr>
          <w:rFonts w:ascii="Calibri" w:hAnsi="Calibri"/>
          <w:b/>
          <w:i w:val="0"/>
        </w:rPr>
        <w:t>Senior Product Manager</w:t>
      </w:r>
      <w:r>
        <w:rPr>
          <w:rFonts w:ascii="Calibri" w:hAnsi="Calibri"/>
          <w:b w:val="0"/>
          <w:i w:val="0"/>
        </w:rPr>
        <w:t xml:space="preserve">    Jun 2024 – Apr 2026</w:t>
      </w:r>
    </w:p>
    <w:p>
      <w:pPr>
        <w:spacing w:before="0" w:after="60"/>
      </w:pPr>
      <w:r>
        <w:rPr>
          <w:rFonts w:ascii="Calibri" w:hAnsi="Calibri"/>
          <w:b w:val="0"/>
          <w:i/>
        </w:rPr>
        <w:t>UKG  |  Lowell, MA  |  $250M ARR  |  Platform tooling, AI capability, and self-serve flows protecting enterprise customers through migration</w:t>
      </w:r>
    </w:p>
    <w:p>
      <w:pPr>
        <w:pStyle w:val="ListBullet"/>
        <w:spacing w:before="0" w:after="60"/>
        <w:ind w:left="360"/>
      </w:pPr>
      <w:r>
        <w:rPr>
          <w:rFonts w:ascii="Calibri" w:hAnsi="Calibri"/>
          <w:b/>
          <w:i w:val="0"/>
        </w:rPr>
        <w:t xml:space="preserve">Built a 0→1 self-serve migration tool — idea to engineering-ready in one week. </w:t>
      </w:r>
      <w:r>
        <w:rPr>
          <w:rFonts w:ascii="Calibri" w:hAnsi="Calibri"/>
          <w:b w:val="0"/>
          <w:i w:val="0"/>
        </w:rPr>
        <w:t>Took it from concept through three business-epic decomposition (UI, rules, deployment), wrote the working prototype myself in Claude Code, designed the UX feedback loop and persona, and handed engineering a complete delivery package — bepics, epics, stories, Gantt, roadmap. In production with the first customer cohort — 6 enterprise accounts in flight, Services running migrations without an engineering ticket, Services-Consultant feedback loop active.</w:t>
      </w:r>
    </w:p>
    <w:p>
      <w:pPr>
        <w:pStyle w:val="ListBullet"/>
        <w:spacing w:before="0" w:after="60"/>
        <w:ind w:left="360"/>
      </w:pPr>
      <w:r>
        <w:rPr>
          <w:rFonts w:ascii="Calibri" w:hAnsi="Calibri"/>
          <w:b/>
          <w:i w:val="0"/>
        </w:rPr>
        <w:t xml:space="preserve">Built UKG product's first organized AI capability layer. </w:t>
      </w:r>
      <w:r>
        <w:rPr>
          <w:rFonts w:ascii="Calibri" w:hAnsi="Calibri"/>
          <w:b w:val="0"/>
          <w:i w:val="0"/>
        </w:rPr>
        <w:t>Started as a personal automation library; built it into a shared repo 20 PMs could pull from, ran the first peer group, and sat with two PMs directly to configure it for their own use cases. Designed from the start to spread without a mandate — shared infrastructure, not personal tooling, because the only adoption that lasts is the kind nobody had to order.</w:t>
      </w:r>
    </w:p>
    <w:p>
      <w:pPr>
        <w:pStyle w:val="ListBullet"/>
        <w:spacing w:before="0" w:after="60"/>
        <w:ind w:left="360"/>
      </w:pPr>
      <w:r>
        <w:rPr>
          <w:rFonts w:ascii="Calibri" w:hAnsi="Calibri"/>
          <w:b/>
          <w:i w:val="0"/>
        </w:rPr>
        <w:t xml:space="preserve">Designed a five-panel operational analytics product </w:t>
      </w:r>
      <w:r>
        <w:rPr>
          <w:rFonts w:ascii="Calibri" w:hAnsi="Calibri"/>
          <w:b w:val="0"/>
          <w:i w:val="0"/>
        </w:rPr>
        <w:t>classifying open issues across customer escalations, code defects, internal bugs, CVEs, and noise across four products; auto-refreshed daily, with a Claude Code function I built into the tool surfacing the single highest-leverage action per panel. Cut the working defect list ~97% — roughly 200 apparent issues resolved to a real five — so engineering triaged signal, not noise. Opinionated routing, not a dashboard.</w:t>
      </w:r>
    </w:p>
    <w:p>
      <w:pPr>
        <w:pStyle w:val="ListBullet"/>
        <w:spacing w:before="0" w:after="60"/>
        <w:ind w:left="360"/>
      </w:pPr>
      <w:r>
        <w:rPr>
          <w:rFonts w:ascii="Calibri" w:hAnsi="Calibri"/>
          <w:b/>
          <w:i w:val="0"/>
        </w:rPr>
        <w:t xml:space="preserve">Built an ARR-risk model for the UTA upgrade program </w:t>
      </w:r>
      <w:r>
        <w:rPr>
          <w:rFonts w:ascii="Calibri" w:hAnsi="Calibri"/>
          <w:b w:val="0"/>
          <w:i w:val="0"/>
        </w:rPr>
        <w:t>scoring the top 10 accounts on a blend of ARR exposure, reported-case volume, true-defect count, and Salesforce sentiment — not raw ticket counts. Automated weekly reporting routed every open blocker to the program lead; live tracking surfaced aging issues before they escalated.</w:t>
      </w:r>
    </w:p>
    <w:p>
      <w:pPr>
        <w:pStyle w:val="ListBullet"/>
        <w:spacing w:before="0" w:after="60"/>
        <w:ind w:left="360"/>
      </w:pPr>
      <w:r>
        <w:rPr>
          <w:rFonts w:ascii="Calibri" w:hAnsi="Calibri"/>
          <w:b/>
          <w:i w:val="0"/>
        </w:rPr>
        <w:t xml:space="preserve">Designed sprint health instrumentation </w:t>
      </w:r>
      <w:r>
        <w:rPr>
          <w:rFonts w:ascii="Calibri" w:hAnsi="Calibri"/>
          <w:b w:val="0"/>
          <w:i w:val="0"/>
        </w:rPr>
        <w:t>refreshing every 15 minutes across two engineering teams, with documented rejection criteria for burndown, velocity, and story-point anti-patterns — each with technical rationale. Built for signal, not ceremony.</w:t>
      </w:r>
    </w:p>
    <w:p>
      <w:pPr>
        <w:pStyle w:val="ListBullet"/>
        <w:spacing w:before="0" w:after="60"/>
        <w:ind w:left="360"/>
      </w:pPr>
      <w:r>
        <w:rPr>
          <w:rFonts w:ascii="Calibri" w:hAnsi="Calibri"/>
          <w:b/>
          <w:i w:val="0"/>
        </w:rPr>
        <w:t xml:space="preserve">Served as the product-side voice on enterprise customer escalation and pre-upgrade calls </w:t>
      </w:r>
      <w:r>
        <w:rPr>
          <w:rFonts w:ascii="Calibri" w:hAnsi="Calibri"/>
          <w:b w:val="0"/>
          <w:i w:val="0"/>
        </w:rPr>
        <w:t>— synthesizing what 300 UTA customers ($250M ARR) actually needed versus what was on the roadmap, feeding that gap back into prioritization decisions.</w:t>
      </w:r>
    </w:p>
    <w:p>
      <w:pPr>
        <w:spacing w:before="0" w:after="40"/>
      </w:pPr>
      <w:r>
        <w:rPr>
          <w:rFonts w:ascii="Calibri" w:hAnsi="Calibri"/>
          <w:b w:val="0"/>
          <w:i/>
        </w:rPr>
        <w:t>Brand Champion, UKG North America Regional Lead 2026  |  Fire Up ERG (women and allies), Business Innovation workstream lead</w:t>
      </w:r>
    </w:p>
    <w:p>
      <w:pPr>
        <w:spacing w:before="80" w:after="0"/>
      </w:pPr>
      <w:r>
        <w:rPr>
          <w:rFonts w:ascii="Calibri" w:hAnsi="Calibri"/>
          <w:b/>
          <w:i w:val="0"/>
        </w:rPr>
        <w:t>Business Analyst</w:t>
      </w:r>
      <w:r>
        <w:rPr>
          <w:rFonts w:ascii="Calibri" w:hAnsi="Calibri"/>
          <w:b w:val="0"/>
          <w:i w:val="0"/>
        </w:rPr>
        <w:t xml:space="preserve">    Jan 2014 – Jun 2024</w:t>
      </w:r>
    </w:p>
    <w:p>
      <w:pPr>
        <w:spacing w:before="0" w:after="60"/>
      </w:pPr>
      <w:r>
        <w:rPr>
          <w:rFonts w:ascii="Calibri" w:hAnsi="Calibri"/>
          <w:b w:val="0"/>
          <w:i/>
        </w:rPr>
        <w:t>Broadridge Financial Solutions  |  Andover, MA</w:t>
      </w:r>
    </w:p>
    <w:p>
      <w:pPr>
        <w:pStyle w:val="ListBullet"/>
        <w:spacing w:before="0" w:after="60"/>
        <w:ind w:left="360"/>
      </w:pPr>
      <w:r>
        <w:rPr>
          <w:rFonts w:ascii="Calibri" w:hAnsi="Calibri"/>
          <w:b w:val="0"/>
          <w:i w:val="0"/>
        </w:rPr>
        <w:t>Led 40+ enterprise client implementations end-to-end in a compliance-grade financial services environment; partnered deeply with engineering on system behavior, integration, and technical tradeoffs, and developed strong instincts for regulatory consequence and access/audit rigor.</w:t>
      </w:r>
    </w:p>
    <w:p>
      <w:pPr>
        <w:pStyle w:val="ListBullet"/>
        <w:spacing w:before="0" w:after="60"/>
        <w:ind w:left="360"/>
      </w:pPr>
      <w:r>
        <w:rPr>
          <w:rFonts w:ascii="Calibri" w:hAnsi="Calibri"/>
          <w:b w:val="0"/>
          <w:i w:val="0"/>
        </w:rPr>
        <w:t>Internal SME for an omni-channel communication product adopted across the full client base; translated complex compliance capabilities into workflows non-technical buyers could operate without support.</w:t>
      </w:r>
    </w:p>
    <w:p>
      <w:pPr>
        <w:spacing w:before="80" w:after="0"/>
      </w:pPr>
      <w:r>
        <w:rPr>
          <w:rFonts w:ascii="Calibri" w:hAnsi="Calibri"/>
          <w:b/>
          <w:i w:val="0"/>
        </w:rPr>
        <w:t>Sr. Document Development Analyst</w:t>
      </w:r>
      <w:r>
        <w:rPr>
          <w:rFonts w:ascii="Calibri" w:hAnsi="Calibri"/>
          <w:b w:val="0"/>
          <w:i w:val="0"/>
        </w:rPr>
        <w:t xml:space="preserve">    Jan 2006 – Jan 2014</w:t>
      </w:r>
    </w:p>
    <w:p>
      <w:pPr>
        <w:spacing w:before="0" w:after="60"/>
      </w:pPr>
      <w:r>
        <w:rPr>
          <w:rFonts w:ascii="Calibri" w:hAnsi="Calibri"/>
          <w:b w:val="0"/>
          <w:i/>
        </w:rPr>
        <w:t>Broadridge Financial Solutions  |  Andover, MA</w:t>
      </w:r>
    </w:p>
    <w:p>
      <w:pPr>
        <w:spacing w:before="200" w:after="40"/>
      </w:pPr>
      <w:r>
        <w:rPr>
          <w:rFonts w:ascii="Calibri" w:hAnsi="Calibri"/>
          <w:b/>
          <w:i w:val="0"/>
          <w:sz w:val="22"/>
        </w:rPr>
        <w:t>SKILLS AND FOCUS AREAS</w:t>
      </w:r>
    </w:p>
    <w:p>
      <w:pPr>
        <w:spacing w:before="0" w:after="60"/>
      </w:pPr>
      <w:r>
        <w:rPr>
          <w:rFonts w:ascii="Calibri" w:hAnsi="Calibri"/>
          <w:b/>
          <w:i w:val="0"/>
        </w:rPr>
        <w:t xml:space="preserve">Product:  </w:t>
      </w:r>
      <w:r>
        <w:rPr>
          <w:rFonts w:ascii="Calibri" w:hAnsi="Calibri"/>
          <w:b w:val="0"/>
          <w:i w:val="0"/>
        </w:rPr>
        <w:t>Platform &amp; foundational-capability PM, product strategy &amp; roadmap, backlog ownership, prioritization and tradeoff decisions in ambiguous systems-level spaces, 0→1 product building, end-to-end delivery from prototype to production, B2B SaaS</w:t>
      </w:r>
    </w:p>
    <w:p>
      <w:pPr>
        <w:spacing w:before="0" w:after="60"/>
      </w:pPr>
      <w:r>
        <w:rPr>
          <w:rFonts w:ascii="Calibri" w:hAnsi="Calibri"/>
          <w:b/>
          <w:i w:val="0"/>
        </w:rPr>
        <w:t xml:space="preserve">AI as Co-Builder:  </w:t>
      </w:r>
      <w:r>
        <w:rPr>
          <w:rFonts w:ascii="Calibri" w:hAnsi="Calibri"/>
          <w:b w:val="0"/>
          <w:i w:val="0"/>
        </w:rPr>
        <w:t>Claude Code prototyping, agentic workflows, AI-fluent product development, technical-systems fluency (APIs, architecture, integration tradeoffs), PM automation, zero-translation building</w:t>
      </w:r>
    </w:p>
    <w:p>
      <w:pPr>
        <w:spacing w:before="0" w:after="60"/>
      </w:pPr>
      <w:r>
        <w:rPr>
          <w:rFonts w:ascii="Calibri" w:hAnsi="Calibri"/>
          <w:b/>
          <w:i w:val="0"/>
        </w:rPr>
        <w:t xml:space="preserve">Compliance &amp; Enterprise:  </w:t>
      </w:r>
      <w:r>
        <w:rPr>
          <w:rFonts w:ascii="Calibri" w:hAnsi="Calibri"/>
          <w:b w:val="0"/>
          <w:i w:val="0"/>
        </w:rPr>
        <w:t>Compliance-grade financial services, regulatory-consequence delivery, access/audit and least-privilege adjacency, enterprise-system integration (HRIS/workforce platforms), multi-stakeholder coordination, escalation room presence</w:t>
      </w:r>
    </w:p>
    <w:p>
      <w:pPr>
        <w:spacing w:before="0" w:after="60"/>
      </w:pPr>
      <w:r>
        <w:rPr>
          <w:rFonts w:ascii="Calibri" w:hAnsi="Calibri"/>
          <w:b/>
          <w:i w:val="0"/>
        </w:rPr>
        <w:t xml:space="preserve">Data &amp; Analytics:  </w:t>
      </w:r>
      <w:r>
        <w:rPr>
          <w:rFonts w:ascii="Calibri" w:hAnsi="Calibri"/>
          <w:b w:val="0"/>
          <w:i w:val="0"/>
        </w:rPr>
        <w:t>Operational analytics products, opinionated instrumentation, composite risk modeling, KPI definition, automated reporting cadence, qualitative-to-structured synthesis</w:t>
      </w:r>
    </w:p>
    <w:p>
      <w:pPr>
        <w:spacing w:before="0" w:after="60"/>
      </w:pPr>
      <w:r>
        <w:rPr>
          <w:rFonts w:ascii="Calibri" w:hAnsi="Calibri"/>
          <w:b/>
          <w:i w:val="0"/>
        </w:rPr>
        <w:t xml:space="preserve">Tooling:  </w:t>
      </w:r>
      <w:r>
        <w:rPr>
          <w:rFonts w:ascii="Calibri" w:hAnsi="Calibri"/>
          <w:b w:val="0"/>
          <w:i w:val="0"/>
        </w:rPr>
        <w:t>Jira, Confluence, GitHub, SQL, Slack MCP, Claude Code CLI</w:t>
      </w:r>
    </w:p>
    <w:p>
      <w:pPr>
        <w:spacing w:before="200" w:after="40"/>
      </w:pPr>
      <w:r>
        <w:rPr>
          <w:rFonts w:ascii="Calibri" w:hAnsi="Calibri"/>
          <w:b/>
          <w:i w:val="0"/>
          <w:sz w:val="22"/>
        </w:rPr>
        <w:t>EDUCATION</w:t>
      </w:r>
    </w:p>
    <w:p>
      <w:pPr>
        <w:spacing w:before="0" w:after="0"/>
      </w:pPr>
      <w:r>
        <w:rPr>
          <w:rFonts w:ascii="Calibri" w:hAnsi="Calibri"/>
          <w:b/>
          <w:i w:val="0"/>
        </w:rPr>
        <w:t>Bachelor of Science, Management Information Systems and Management</w:t>
      </w:r>
    </w:p>
    <w:p>
      <w:pPr>
        <w:spacing w:before="0" w:after="40"/>
      </w:pPr>
      <w:r>
        <w:rPr>
          <w:rFonts w:ascii="Calibri" w:hAnsi="Calibri"/>
          <w:b w:val="0"/>
          <w:i w:val="0"/>
        </w:rPr>
        <w:t>Manning School of Business, UMass Lowell  |  1999</w:t>
      </w:r>
    </w:p>
    <w:p>
      <w:pPr>
        <w:spacing w:before="200" w:after="40"/>
      </w:pPr>
      <w:r>
        <w:rPr>
          <w:rFonts w:ascii="Calibri" w:hAnsi="Calibri"/>
          <w:b/>
          <w:i w:val="0"/>
          <w:sz w:val="22"/>
        </w:rPr>
        <w:t>WRITING AND THOUGHT LEADERSHIP</w:t>
      </w:r>
    </w:p>
    <w:p>
      <w:pPr>
        <w:spacing w:before="0" w:after="0"/>
      </w:pPr>
      <w:r>
        <w:rPr>
          <w:rFonts w:ascii="Calibri" w:hAnsi="Calibri"/>
          <w:b/>
          <w:i w:val="0"/>
        </w:rPr>
        <w:t>The Unofficial Leader</w:t>
      </w:r>
      <w:r>
        <w:rPr>
          <w:rFonts w:ascii="Calibri" w:hAnsi="Calibri"/>
          <w:b w:val="0"/>
          <w:i w:val="0"/>
        </w:rPr>
        <w:t xml:space="preserve">  (Substack)  |  theunofficialleader.substack.com</w:t>
      </w:r>
    </w:p>
    <w:p>
      <w:pPr>
        <w:spacing w:before="0" w:after="40"/>
      </w:pPr>
      <w:r>
        <w:rPr>
          <w:rFonts w:ascii="Calibri" w:hAnsi="Calibri"/>
          <w:b w:val="0"/>
          <w:i w:val="0"/>
        </w:rPr>
        <w:t>Weekly publication on AI adoption, unofficial leadership, and what's happening beneath the surface of how teams work. Originator of the Zero-Translation Building framework. Active LinkedIn audience engagement on product, AI adoption, and team dynamics.</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