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2"/>
        </w:rPr>
        <w:t>Ian Cowpar</w:t>
      </w:r>
    </w:p>
    <w:p>
      <w:pPr>
        <w:spacing w:after="280"/>
      </w:pPr>
      <w:r>
        <w:rPr>
          <w:rFonts w:ascii="Calibri" w:hAnsi="Calibri"/>
          <w:b w:val="0"/>
          <w:i w:val="0"/>
        </w:rPr>
        <w:t>ian.cowpar@gmail.com  |  351-235-0365  |  linkedin.com/in/ian-cowpar</w:t>
      </w:r>
    </w:p>
    <w:p>
      <w:pPr>
        <w:spacing w:after="280"/>
      </w:pPr>
      <w:r>
        <w:rPr>
          <w:rFonts w:ascii="Calibri" w:hAnsi="Calibri"/>
          <w:b w:val="0"/>
          <w:i w:val="0"/>
        </w:rPr>
        <w:t>May 2026</w:t>
      </w:r>
    </w:p>
    <w:p>
      <w:pPr>
        <w:spacing w:after="240"/>
      </w:pPr>
      <w:r>
        <w:rPr>
          <w:rFonts w:ascii="Calibri" w:hAnsi="Calibri"/>
          <w:b w:val="0"/>
          <w:i w:val="0"/>
        </w:rPr>
        <w:t>Hiring Team</w:t>
      </w:r>
    </w:p>
    <w:p>
      <w:pPr>
        <w:spacing w:after="200" w:line="276" w:lineRule="auto"/>
      </w:pPr>
      <w:r>
        <w:rPr>
          <w:rFonts w:ascii="Calibri" w:hAnsi="Calibri"/>
          <w:i w:val="0"/>
        </w:rPr>
        <w:t>To open with the part you'll see anyway: I haven't worked inside a law firm or a legal-technology environment, and I want to name that before you have to. Your JD lists it as preferred rather than required, but it's a real gap and an interview would surface it in minutes. I'd rather be straight about where the bridge holds than imply otherwise.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Here's the bridge. The work this role describes, full-lifecycle AI-platform ownership, driving adoption with skeptical professional users, vendor and technology evaluation, translating business needs into requirements without losing the user's voice, is what I spent the last two years doing at UKG, just in workforce management rather than law. I built the organization's first organized AI capability platform from zero, with no top-down mandate, and coached individual PMs into role-specific use cases until they replaced manual workflows with their own slash commands. Adoption that holds because nobody had to order it, not because someone scheduled training.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Two adjacencies that aren't legal but are real.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A decade at Broadridge before UKG, in compliance-grade financial services with client confidentiality as table stakes and regulatory consequence on every delivery. The instinct for what "right" looks like in a confidentiality-bound environment is built in, even if the specific workflows aren't legal.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AI as practitioner, not pitch. I maintain twenty custom slash commands and a personal Claude Code productivity OS in active daily use. The reason attorneys make for skeptical but eventually loyal adopters is the same reason senior PMs do: they don't trust a tool until they've seen it earn its place in real work. Designing for that arc is the muscle I've been training.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What I'd be ramping is legal workflow specifics: practice areas, document tooling, the working rhythms of practice teams. What I wouldn't be ramping is the platform PM craft or the AI fluency this role centers on.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I'd welcome the conversation.</w:t>
      </w:r>
    </w:p>
    <w:p>
      <w:pPr>
        <w:spacing w:before="80"/>
      </w:pPr>
      <w:r>
        <w:rPr>
          <w:rFonts w:ascii="Calibri" w:hAnsi="Calibri"/>
          <w:b w:val="0"/>
          <w:i w:val="0"/>
        </w:rPr>
        <w:t>Ian Cowpar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