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sz w:val="36"/>
        </w:rPr>
        <w:t>Ian Cowpar</w:t>
      </w:r>
    </w:p>
    <w:p>
      <w:pPr>
        <w:spacing w:before="0" w:after="40"/>
      </w:pPr>
      <w:r>
        <w:rPr>
          <w:rFonts w:ascii="Calibri" w:hAnsi="Calibri"/>
          <w:b w:val="0"/>
          <w:i w:val="0"/>
        </w:rPr>
        <w:t>PM at principal scope  |  AI platform lifecycle from pilot to production  |  Adoption that holds without mandate  |  Zero-translation systems</w:t>
      </w:r>
    </w:p>
    <w:p>
      <w:pPr>
        <w:spacing w:before="0" w:after="80"/>
      </w:pPr>
      <w:r>
        <w:rPr>
          <w:rFonts w:ascii="Calibri" w:hAnsi="Calibri"/>
          <w:b w:val="0"/>
          <w:i w:val="0"/>
        </w:rPr>
        <w:t>ian.cowpar@gmail.com  |  351-235-0365  |  linkedin.com/in/ian-cowpar  |  theunofficialleader.substack.com</w:t>
      </w:r>
    </w:p>
    <w:p>
      <w:pPr>
        <w:spacing w:before="200" w:after="40"/>
      </w:pPr>
      <w:r>
        <w:rPr>
          <w:rFonts w:ascii="Calibri" w:hAnsi="Calibri"/>
          <w:b/>
          <w:i w:val="0"/>
          <w:sz w:val="22"/>
        </w:rPr>
        <w:t>SUMMARY</w:t>
      </w:r>
    </w:p>
    <w:p>
      <w:pPr>
        <w:spacing w:before="0" w:after="80"/>
      </w:pPr>
      <w:r>
        <w:rPr>
          <w:rFonts w:ascii="Calibri" w:hAnsi="Calibri"/>
          <w:b w:val="0"/>
          <w:i w:val="0"/>
        </w:rPr>
        <w:t>Product manager at principal scope who builds AI capability platforms for the internal users that depend on them, from pilot through production and into measurable adoption. Two years at UKG building the organization's first organized AI capability platform from zero, with no top-down mandate, and coaching individual users until they replaced manual workflows with their own slash commands. A decade prior at Broadridge in compliance-grade financial services, where client confidentiality and regulated delivery were table stakes. Maintain twenty custom slash commands and a personal Claude Code productivity OS in active daily use. Originator of the Zero-Translation Building framework, with weekly published thought leadership on AI adoption realism.</w:t>
      </w:r>
    </w:p>
    <w:p>
      <w:pPr>
        <w:spacing w:before="200" w:after="40"/>
      </w:pPr>
      <w:r>
        <w:rPr>
          <w:rFonts w:ascii="Calibri" w:hAnsi="Calibri"/>
          <w:b/>
          <w:i w:val="0"/>
          <w:sz w:val="22"/>
        </w:rPr>
        <w:t>EXPERIENCE</w:t>
      </w:r>
    </w:p>
    <w:p>
      <w:pPr>
        <w:spacing w:before="40" w:after="0"/>
      </w:pPr>
      <w:r>
        <w:rPr>
          <w:rFonts w:ascii="Calibri" w:hAnsi="Calibri"/>
          <w:b/>
          <w:i w:val="0"/>
        </w:rPr>
        <w:t>Senior Product Manager</w:t>
      </w:r>
      <w:r>
        <w:rPr>
          <w:rFonts w:ascii="Calibri" w:hAnsi="Calibri"/>
          <w:b w:val="0"/>
          <w:i w:val="0"/>
        </w:rPr>
        <w:t xml:space="preserve">    ·  UKG  ·  Lowell, MA  ·  Jun 2024 – Apr 2026</w:t>
      </w:r>
    </w:p>
    <w:p>
      <w:pPr>
        <w:spacing w:before="0" w:after="60"/>
      </w:pPr>
      <w:r>
        <w:rPr>
          <w:rFonts w:ascii="Calibri" w:hAnsi="Calibri"/>
          <w:b w:val="0"/>
          <w:i/>
        </w:rPr>
        <w:t>$250M ARR enterprise platform program  ·  AI capability platform, adoption enablement, 0→1 product, data products</w:t>
      </w:r>
    </w:p>
    <w:p>
      <w:pPr>
        <w:pStyle w:val="ListBullet"/>
        <w:spacing w:before="0" w:after="60"/>
        <w:ind w:left="360"/>
      </w:pPr>
      <w:r>
        <w:rPr>
          <w:rFonts w:ascii="Calibri" w:hAnsi="Calibri"/>
          <w:b/>
          <w:i w:val="0"/>
        </w:rPr>
        <w:t xml:space="preserve">Built the product organization's first organized AI capability platform </w:t>
      </w:r>
      <w:r>
        <w:rPr>
          <w:rFonts w:ascii="Calibri" w:hAnsi="Calibri"/>
          <w:b w:val="0"/>
          <w:i w:val="0"/>
        </w:rPr>
        <w:t>, scaling shared infrastructure that 20 PMs adopted with sustained voluntary creation, with multiple PMs building their own custom slash commands that replaced manual workflows entirely (behavior extinction, not addition), by designing for org-wide reuse from day one, running the founding peer group, and coaching individual users into role-specific use cases without top-down mandate.</w:t>
      </w:r>
    </w:p>
    <w:p>
      <w:pPr>
        <w:pStyle w:val="ListBullet"/>
        <w:spacing w:before="0" w:after="60"/>
        <w:ind w:left="360"/>
      </w:pPr>
      <w:r>
        <w:rPr>
          <w:rFonts w:ascii="Calibri" w:hAnsi="Calibri"/>
          <w:b/>
          <w:i w:val="0"/>
        </w:rPr>
        <w:t xml:space="preserve">Shipped a 0→1 self-serve product from pilot to production in a one-week prototype cycle </w:t>
      </w:r>
      <w:r>
        <w:rPr>
          <w:rFonts w:ascii="Calibri" w:hAnsi="Calibri"/>
          <w:b w:val="0"/>
          <w:i w:val="0"/>
        </w:rPr>
        <w:t>, projected to deliver ~30% time reduction in the underlying enterprise workflow and remove engineering from the critical path of a previously ticket-gated process, by personally writing the working prototype in Claude Code, decomposing scope across three business epics (UI, rules, deployment), and delivering an engineering-ready package the platform architect built against.</w:t>
      </w:r>
    </w:p>
    <w:p>
      <w:pPr>
        <w:pStyle w:val="ListBullet"/>
        <w:spacing w:before="0" w:after="60"/>
        <w:ind w:left="360"/>
      </w:pPr>
      <w:r>
        <w:rPr>
          <w:rFonts w:ascii="Calibri" w:hAnsi="Calibri"/>
          <w:b/>
          <w:i w:val="0"/>
        </w:rPr>
        <w:t xml:space="preserve">Designed an opinionated operational analytics product with a Claude Code function embedded as a first-class feature </w:t>
      </w:r>
      <w:r>
        <w:rPr>
          <w:rFonts w:ascii="Calibri" w:hAnsi="Calibri"/>
          <w:b w:val="0"/>
          <w:i w:val="0"/>
        </w:rPr>
        <w:t>, cutting a working defect list from ~200 issues to 5 (~97% reduction) so engineering acted on signal not noise, by classifying open issues across five panels across four products and surfacing the single highest-leverage action per panel.</w:t>
      </w:r>
    </w:p>
    <w:p>
      <w:pPr>
        <w:pStyle w:val="ListBullet"/>
        <w:spacing w:before="0" w:after="60"/>
        <w:ind w:left="360"/>
      </w:pPr>
      <w:r>
        <w:rPr>
          <w:rFonts w:ascii="Calibri" w:hAnsi="Calibri"/>
          <w:b/>
          <w:i w:val="0"/>
        </w:rPr>
        <w:t xml:space="preserve">Built a composite ARR-risk model that surfaced ~$50M in at-risk ARR requiring immediate intervention before escalation </w:t>
      </w:r>
      <w:r>
        <w:rPr>
          <w:rFonts w:ascii="Calibri" w:hAnsi="Calibri"/>
          <w:b w:val="0"/>
          <w:i w:val="0"/>
        </w:rPr>
        <w:t>, by replacing raw ticket counts with weighted signal across exposure, case volume, true-defect rate, and Salesforce sentiment, and automating the weekly metric the program lead acted on.</w:t>
      </w:r>
    </w:p>
    <w:p>
      <w:pPr>
        <w:pStyle w:val="ListBullet"/>
        <w:spacing w:before="0" w:after="60"/>
        <w:ind w:left="360"/>
      </w:pPr>
      <w:r>
        <w:rPr>
          <w:rFonts w:ascii="Calibri" w:hAnsi="Calibri"/>
          <w:b/>
          <w:i w:val="0"/>
        </w:rPr>
        <w:t xml:space="preserve">Influenced cross-functional prioritization across product, engineering, and services without direct authority </w:t>
      </w:r>
      <w:r>
        <w:rPr>
          <w:rFonts w:ascii="Calibri" w:hAnsi="Calibri"/>
          <w:b w:val="0"/>
          <w:i w:val="0"/>
        </w:rPr>
        <w:t>in executive escalation rooms, synthesizing what 300 enterprise customers ($250M ARR) actually needed against what was committed, and translating that into tradeoff decisions across four product lines.</w:t>
      </w:r>
    </w:p>
    <w:p>
      <w:pPr>
        <w:pStyle w:val="ListBullet"/>
        <w:spacing w:before="0" w:after="60"/>
        <w:ind w:left="360"/>
      </w:pPr>
      <w:r>
        <w:rPr>
          <w:rFonts w:ascii="Calibri" w:hAnsi="Calibri"/>
          <w:b/>
          <w:i w:val="0"/>
        </w:rPr>
        <w:t xml:space="preserve">Designed delivery-health instrumentation refreshing every 15 minutes </w:t>
      </w:r>
      <w:r>
        <w:rPr>
          <w:rFonts w:ascii="Calibri" w:hAnsi="Calibri"/>
          <w:b w:val="0"/>
          <w:i w:val="0"/>
        </w:rPr>
        <w:t>across two engineering teams, with documented rejection criteria for burndown, velocity, and story-point anti-patterns, building governance for signal rather than ceremony.</w:t>
      </w:r>
    </w:p>
    <w:p>
      <w:pPr>
        <w:spacing w:before="0" w:after="40"/>
      </w:pPr>
      <w:r>
        <w:rPr>
          <w:rFonts w:ascii="Calibri" w:hAnsi="Calibri"/>
          <w:b w:val="0"/>
          <w:i/>
        </w:rPr>
        <w:t>Brand Champion, UKG North America Regional Lead 2026  ·  Fire Up ERG (women and allies), Business Innovation workstream lead</w:t>
      </w:r>
    </w:p>
    <w:p>
      <w:pPr>
        <w:spacing w:before="80" w:after="0"/>
      </w:pPr>
      <w:r>
        <w:rPr>
          <w:rFonts w:ascii="Calibri" w:hAnsi="Calibri"/>
          <w:b/>
          <w:i w:val="0"/>
        </w:rPr>
        <w:t>Business Analyst</w:t>
      </w:r>
      <w:r>
        <w:rPr>
          <w:rFonts w:ascii="Calibri" w:hAnsi="Calibri"/>
          <w:b w:val="0"/>
          <w:i w:val="0"/>
        </w:rPr>
        <w:t xml:space="preserve">    ·  Broadridge Financial Solutions  ·  Andover, MA  ·  Jan 2014 – Jun 2024</w:t>
      </w:r>
    </w:p>
    <w:p>
      <w:pPr>
        <w:pStyle w:val="ListBullet"/>
        <w:spacing w:before="0" w:after="60"/>
        <w:ind w:left="360"/>
      </w:pPr>
      <w:r>
        <w:rPr>
          <w:rFonts w:ascii="Calibri" w:hAnsi="Calibri"/>
          <w:b/>
          <w:i w:val="0"/>
        </w:rPr>
        <w:t xml:space="preserve">Led 40+ enterprise client deployments end-to-end in a compliance-grade financial services environment </w:t>
      </w:r>
      <w:r>
        <w:rPr>
          <w:rFonts w:ascii="Calibri" w:hAnsi="Calibri"/>
          <w:b w:val="0"/>
          <w:i w:val="0"/>
        </w:rPr>
        <w:t>, with client confidentiality and regulatory consequence as table stakes, partnering deeply with engineering on system behavior, data flows, integration dependencies, and technical tradeoffs, and building strong instincts for what "right" looks like in a regulated, confidentiality-bound environment.</w:t>
      </w:r>
    </w:p>
    <w:p>
      <w:pPr>
        <w:pStyle w:val="ListBullet"/>
        <w:spacing w:before="0" w:after="60"/>
        <w:ind w:left="360"/>
      </w:pPr>
      <w:r>
        <w:rPr>
          <w:rFonts w:ascii="Calibri" w:hAnsi="Calibri"/>
          <w:b/>
          <w:i w:val="0"/>
        </w:rPr>
        <w:t xml:space="preserve">Served as internal subject-matter expert for an omni-channel communication product adopted across the full enterprise client base </w:t>
      </w:r>
      <w:r>
        <w:rPr>
          <w:rFonts w:ascii="Calibri" w:hAnsi="Calibri"/>
          <w:b w:val="0"/>
          <w:i w:val="0"/>
        </w:rPr>
        <w:t>, translating complex technical and compliance capabilities into workflows non-technical buyers could operate without support, the same intake-and-translation pattern this role's value-add is built around.</w:t>
      </w:r>
    </w:p>
    <w:p>
      <w:pPr>
        <w:spacing w:before="80" w:after="0"/>
      </w:pPr>
      <w:r>
        <w:rPr>
          <w:rFonts w:ascii="Calibri" w:hAnsi="Calibri"/>
          <w:b/>
          <w:i w:val="0"/>
        </w:rPr>
        <w:t>Sr. Document Development Analyst</w:t>
      </w:r>
      <w:r>
        <w:rPr>
          <w:rFonts w:ascii="Calibri" w:hAnsi="Calibri"/>
          <w:b w:val="0"/>
          <w:i w:val="0"/>
        </w:rPr>
        <w:t xml:space="preserve">    ·  Broadridge Financial Solutions  ·  Andover, MA  ·  Jan 2006 – Jan 2014</w:t>
      </w:r>
    </w:p>
    <w:p>
      <w:pPr>
        <w:pStyle w:val="ListBullet"/>
        <w:spacing w:before="0" w:after="60"/>
        <w:ind w:left="360"/>
      </w:pPr>
      <w:r>
        <w:rPr>
          <w:rFonts w:ascii="Calibri" w:hAnsi="Calibri"/>
          <w:b w:val="0"/>
          <w:i w:val="0"/>
        </w:rPr>
        <w:t>Built and maintained complex client-facing document and communication systems in a regulated financial services environment, the governance and requirements-rigor foundation the later deployment-leadership work was built on.</w:t>
      </w:r>
    </w:p>
    <w:p>
      <w:pPr>
        <w:spacing w:before="200" w:after="40"/>
      </w:pPr>
      <w:r>
        <w:rPr>
          <w:rFonts w:ascii="Calibri" w:hAnsi="Calibri"/>
          <w:b/>
          <w:i w:val="0"/>
          <w:sz w:val="22"/>
        </w:rPr>
        <w:t>SKILLS AND FOCUS AREAS</w:t>
      </w:r>
    </w:p>
    <w:p>
      <w:pPr>
        <w:spacing w:before="0" w:after="60"/>
      </w:pPr>
      <w:r>
        <w:rPr>
          <w:rFonts w:ascii="Calibri" w:hAnsi="Calibri"/>
          <w:b/>
          <w:i w:val="0"/>
        </w:rPr>
        <w:t xml:space="preserve">Product Lifecycle &amp; Adoption:  </w:t>
      </w:r>
      <w:r>
        <w:rPr>
          <w:rFonts w:ascii="Calibri" w:hAnsi="Calibri"/>
          <w:b w:val="0"/>
          <w:i w:val="0"/>
        </w:rPr>
        <w:t>Full-lifecycle product ownership (pilot to production to retirement), adoption design that sustains without top-down mandate, user enablement and coaching, training and onboarding workflows, release notes and user communications, voice-of-user translation, UAT leadership, change-management materials, B2B SaaS</w:t>
      </w:r>
    </w:p>
    <w:p>
      <w:pPr>
        <w:spacing w:before="0" w:after="60"/>
      </w:pPr>
      <w:r>
        <w:rPr>
          <w:rFonts w:ascii="Calibri" w:hAnsi="Calibri"/>
          <w:b/>
          <w:i w:val="0"/>
        </w:rPr>
        <w:t xml:space="preserve">AI as Co-Builder:  </w:t>
      </w:r>
      <w:r>
        <w:rPr>
          <w:rFonts w:ascii="Calibri" w:hAnsi="Calibri"/>
          <w:b w:val="0"/>
          <w:i w:val="0"/>
        </w:rPr>
        <w:t>Deep daily use of agentic AI tooling (twenty custom slash commands and a personal Claude Code productivity OS in active use), AI-enabled enterprise tool deployment, embedding AI features inside internal products, AI capability enablement at org scale, responsible and customer-centric AI judgment, Zero-Translation Building (framework originator)</w:t>
      </w:r>
    </w:p>
    <w:p>
      <w:pPr>
        <w:spacing w:before="0" w:after="60"/>
      </w:pPr>
      <w:r>
        <w:rPr>
          <w:rFonts w:ascii="Calibri" w:hAnsi="Calibri"/>
          <w:b/>
          <w:i w:val="0"/>
        </w:rPr>
        <w:t xml:space="preserve">Data &amp; Adoption Metrics:  </w:t>
      </w:r>
      <w:r>
        <w:rPr>
          <w:rFonts w:ascii="Calibri" w:hAnsi="Calibri"/>
          <w:b w:val="0"/>
          <w:i w:val="0"/>
        </w:rPr>
        <w:t>Opinionated analytics products, composite scoring and risk modeling, success-metric definition, adoption and behavior-extinction measurement, ROI-informed product decisions, qualitative-to-structured synthesis</w:t>
      </w:r>
    </w:p>
    <w:p>
      <w:pPr>
        <w:spacing w:before="0" w:after="60"/>
      </w:pPr>
      <w:r>
        <w:rPr>
          <w:rFonts w:ascii="Calibri" w:hAnsi="Calibri"/>
          <w:b/>
          <w:i w:val="0"/>
        </w:rPr>
        <w:t xml:space="preserve">Regulated &amp; Professional-Services Adjacency:  </w:t>
      </w:r>
      <w:r>
        <w:rPr>
          <w:rFonts w:ascii="Calibri" w:hAnsi="Calibri"/>
          <w:b w:val="0"/>
          <w:i w:val="0"/>
        </w:rPr>
        <w:t>Compliance-grade financial services environment, client confidentiality as table stakes, regulatory-consequence delivery, enterprise client deployment at scale, executive and cross-functional stakeholder synthesis, partnership with IT and security on production-readiness reviews</w:t>
      </w:r>
    </w:p>
    <w:p>
      <w:pPr>
        <w:spacing w:before="0" w:after="60"/>
      </w:pPr>
      <w:r>
        <w:rPr>
          <w:rFonts w:ascii="Calibri" w:hAnsi="Calibri"/>
          <w:b/>
          <w:i w:val="0"/>
        </w:rPr>
        <w:t xml:space="preserve">Tooling:  </w:t>
      </w:r>
      <w:r>
        <w:rPr>
          <w:rFonts w:ascii="Calibri" w:hAnsi="Calibri"/>
          <w:b w:val="0"/>
          <w:i w:val="0"/>
        </w:rPr>
        <w:t>Jira, Confluence, GitHub, SQL, Power BI / Tableau-adjacent (composite metric modeling), Slack MCP, Claude Code CLI</w:t>
      </w:r>
    </w:p>
    <w:p>
      <w:pPr>
        <w:spacing w:before="200" w:after="40"/>
      </w:pPr>
      <w:r>
        <w:rPr>
          <w:rFonts w:ascii="Calibri" w:hAnsi="Calibri"/>
          <w:b/>
          <w:i w:val="0"/>
          <w:sz w:val="22"/>
        </w:rPr>
        <w:t>EDUCATION</w:t>
      </w:r>
    </w:p>
    <w:p>
      <w:pPr>
        <w:spacing w:before="0" w:after="0"/>
      </w:pPr>
      <w:r>
        <w:rPr>
          <w:rFonts w:ascii="Calibri" w:hAnsi="Calibri"/>
          <w:b/>
          <w:i w:val="0"/>
        </w:rPr>
        <w:t>Bachelor of Science, Management Information Systems and Management</w:t>
      </w:r>
    </w:p>
    <w:p>
      <w:pPr>
        <w:spacing w:before="0" w:after="40"/>
      </w:pPr>
      <w:r>
        <w:rPr>
          <w:rFonts w:ascii="Calibri" w:hAnsi="Calibri"/>
          <w:b w:val="0"/>
          <w:i w:val="0"/>
        </w:rPr>
        <w:t>Manning School of Business, UMass Lowell  ·  1999</w:t>
      </w:r>
    </w:p>
    <w:p>
      <w:pPr>
        <w:spacing w:before="200" w:after="40"/>
      </w:pPr>
      <w:r>
        <w:rPr>
          <w:rFonts w:ascii="Calibri" w:hAnsi="Calibri"/>
          <w:b/>
          <w:i w:val="0"/>
          <w:sz w:val="22"/>
        </w:rPr>
        <w:t>WRITING AND THOUGHT LEADERSHIP</w:t>
      </w:r>
    </w:p>
    <w:p>
      <w:pPr>
        <w:spacing w:before="0" w:after="0"/>
      </w:pPr>
      <w:r>
        <w:rPr>
          <w:rFonts w:ascii="Calibri" w:hAnsi="Calibri"/>
          <w:b/>
          <w:i w:val="0"/>
        </w:rPr>
        <w:t>The Unofficial Leader</w:t>
      </w:r>
      <w:r>
        <w:rPr>
          <w:rFonts w:ascii="Calibri" w:hAnsi="Calibri"/>
          <w:b w:val="0"/>
          <w:i w:val="0"/>
        </w:rPr>
        <w:t xml:space="preserve">  (Substack)  ·  theunofficialleader.substack.com</w:t>
      </w:r>
    </w:p>
    <w:p>
      <w:pPr>
        <w:spacing w:before="0" w:after="40"/>
      </w:pPr>
      <w:r>
        <w:rPr>
          <w:rFonts w:ascii="Calibri" w:hAnsi="Calibri"/>
          <w:b w:val="0"/>
          <w:i w:val="0"/>
        </w:rPr>
        <w:t>Weekly publication on where AI actually earns its place, adoption realism, and what's happening beneath the surface of how teams work. Originator of the Zero-Translation Building framework. Active LinkedIn audience engagement on product, AI adoption, and team dynamics.</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