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2"/>
        </w:rPr>
        <w:t>Ian Cowpar</w:t>
      </w:r>
    </w:p>
    <w:p>
      <w:pPr>
        <w:spacing w:after="280"/>
      </w:pPr>
      <w:r>
        <w:rPr>
          <w:rFonts w:ascii="Calibri" w:hAnsi="Calibri"/>
          <w:b w:val="0"/>
          <w:i w:val="0"/>
        </w:rPr>
        <w:t>ian.cowpar@gmail.com  |  351-235-0365  |  linkedin.com/in/ian-cowpar</w:t>
      </w:r>
    </w:p>
    <w:p>
      <w:pPr>
        <w:spacing w:after="280"/>
      </w:pPr>
      <w:r>
        <w:rPr>
          <w:rFonts w:ascii="Calibri" w:hAnsi="Calibri"/>
          <w:b w:val="0"/>
          <w:i w:val="0"/>
        </w:rPr>
        <w:t>May 2026</w:t>
      </w:r>
    </w:p>
    <w:p>
      <w:pPr>
        <w:spacing w:after="240"/>
      </w:pPr>
      <w:r>
        <w:rPr>
          <w:rFonts w:ascii="Calibri" w:hAnsi="Calibri"/>
          <w:b w:val="0"/>
          <w:i w:val="0"/>
        </w:rPr>
        <w:t>Hiring Team, Gusto</w:t>
      </w:r>
    </w:p>
    <w:p>
      <w:pPr>
        <w:spacing w:after="200" w:line="276" w:lineRule="auto"/>
      </w:pPr>
      <w:r>
        <w:rPr>
          <w:rFonts w:ascii="Calibri" w:hAnsi="Calibri"/>
          <w:i w:val="0"/>
        </w:rPr>
        <w:t>Most product orgs that say they need a PM who can scale down from enterprise to SMB are framing the move backwards. The harder version of the problem isn't SMB — it's the compliance, reliability, and multi-stakeholder constraints of enterprise. The design discipline of building a self-serve flow that absorbs complexity behind the scenes is the same in both directions. The customer just has less patience for complexity in one of them, which is a constraint to embrace rather than a skill to acquire. The migration tool I just shipped at UKG was the harder version. The contractor product space is the easier version — same design discipline, less patience for friction.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Here's what I built. The migration tool was a 0→1 product. It didn't exist. It came to me as a consultant-led process — customers who'd already licensed the platform still needed engineering resources to get there. I owned it from idea through three business-epic decomposition (UI, rules, deployment), built the working prototype myself in Claude Code, designed the UX feedback loop and persona, and handed engineering a complete package: bepics, epics, stories, Gantt chart, roadmap. It's in production now. The Services org runs it without us.</w:t>
      </w:r>
    </w:p>
    <w:p>
      <w:pPr>
        <w:spacing w:after="200" w:line="276" w:lineRule="auto"/>
      </w:pPr>
      <w:r>
        <w:rPr>
          <w:rFonts w:ascii="Calibri" w:hAnsi="Calibri"/>
          <w:i w:val="0"/>
        </w:rPr>
        <w:t xml:space="preserve">The piece I'd want to underline: I wrote the prototype myself in code. Not a spec, not a Figma flow — a working version. That's the part of </w:t>
      </w:r>
      <w:r>
        <w:rPr>
          <w:rFonts w:ascii="Calibri" w:hAnsi="Calibri"/>
          <w:i/>
        </w:rPr>
        <w:t>"boundaryless builder, AI as your co-builder"</w:t>
      </w:r>
      <w:r>
        <w:rPr>
          <w:rFonts w:ascii="Calibri" w:hAnsi="Calibri"/>
          <w:i w:val="0"/>
        </w:rPr>
        <w:t xml:space="preserve"> in your job description that I think most candidates won't have a real receipt for. I treat AI as the thing that lets me ship the working version of a product instead of a description of one. That's what changed about being a PM in 2026, and most PM job descriptions still haven't caught up. Yours has.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I should name the SMB gap directly. I haven't built customer-facing products for small business owners. The discovery muscle I've sharpened is enterprise — escalation rooms, pre-upgrade calls, compliance-grade financial services deployments at Broadridge for a decade before UKG. What I'd want to do in the first 60 days is get close to the contractor problem from the small business side: where the existing tools fail them, what the actual workflow tax of contractor management looks like in a 12-person business, where AI could absorb work they're paying an accountant or a lawyer to do today. The design discipline transfers. The customer empathy I'd build fast.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I'd welcome the conversation.</w:t>
      </w:r>
    </w:p>
    <w:p>
      <w:pPr>
        <w:spacing w:before="80"/>
      </w:pPr>
      <w:r>
        <w:rPr>
          <w:rFonts w:ascii="Calibri" w:hAnsi="Calibri"/>
          <w:b w:val="0"/>
          <w:i w:val="0"/>
        </w:rPr>
        <w:t>Ian Cowpar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