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Boston, MA  ·  ian.cowpar@gmail.com  ·  351-235-0365  ·  linkedin.com/in/ian-cowpar  ·  theunofficialleader.substack.com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product manager who builds AI capability functions from zero inside enterprise software. Specialized in turning ambiguous, undefined problems into shipped platform tooling — by writing the prototype myself, defining the measurement model, and removing engineering as the bottleneck. Two years operating at principal scope at UKG; a decade prior in compliance-grade financial services at Broadridge. Originator of the Zero-Translation Building framework with weekly published thought leadership on AI adoption realism. Known for opinionated data products that route a decision rather than display one — and for adoption that holds because nobody had to order it.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·  UKG  ·  Lowell, MA  ·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$250M ARR enterprise platform program  ·  Internal tooling, AI capability, and 0→1 product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the product organization's first organized AI capability layer </w:t>
      </w:r>
      <w:r>
        <w:rPr>
          <w:rFonts w:ascii="Calibri" w:hAnsi="Calibri"/>
          <w:b w:val="0"/>
          <w:i w:val="0"/>
        </w:rPr>
        <w:t>, scaling shared infrastructure that 20 PMs adopted and sustained without top-down mandate — by designing for org-wide reuse from day one, running the founding peer group, and coaching individual PMs into role-specific use cases.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Shipped a 0→1 self-serve migration product from idea to production in a one-week prototype cycle </w:t>
      </w:r>
      <w:r>
        <w:rPr>
          <w:rFonts w:ascii="Calibri" w:hAnsi="Calibri"/>
          <w:b w:val="0"/>
          <w:i w:val="0"/>
        </w:rPr>
        <w:t>, removing engineering from the critical path of a previously ticket-gated enterprise workflow — by personally writing the working prototype in Claude Code, decomposing scope across three business epics (UI, rules, deployment), and delivering an engineering-ready package (epics, stories, sequencing, roadmap) the platform architect built against.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an opinionated operational analytics product that cut a working defect list from ~200 issues to 5 (~97% reduction) </w:t>
      </w:r>
      <w:r>
        <w:rPr>
          <w:rFonts w:ascii="Calibri" w:hAnsi="Calibri"/>
          <w:b w:val="0"/>
          <w:i w:val="0"/>
        </w:rPr>
        <w:t>, so engineering triaged signal not noise — by classifying open issues across five panels (customer escalations, code defects, internal bugs, CVEs, noise) across four products and embedding a Claude Code function that surfaced the single highest-leverage action per panel.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composite ARR-risk model for the top 10 accounts in the enterprise upgrade program </w:t>
      </w:r>
      <w:r>
        <w:rPr>
          <w:rFonts w:ascii="Calibri" w:hAnsi="Calibri"/>
          <w:b w:val="0"/>
          <w:i w:val="0"/>
        </w:rPr>
        <w:t>, replacing raw ticket counts with a defensible signal that surfaced aging risk before escalation — by scoring exposure, case volume, true-defect signal, and Salesforce sentiment into a weekly automated metric the program lead acted 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Influenced cross-functional prioritization across product, engineering, and services without direct authority </w:t>
      </w:r>
      <w:r>
        <w:rPr>
          <w:rFonts w:ascii="Calibri" w:hAnsi="Calibri"/>
          <w:b w:val="0"/>
          <w:i w:val="0"/>
        </w:rPr>
        <w:t>in executive escalation rooms, synthesizing what 300 enterprise customers ($250M ARR) actually needed against what was committed and translating that into tradeoff decisions.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delivery-health instrumentation refreshing every 15 minutes </w:t>
      </w:r>
      <w:r>
        <w:rPr>
          <w:rFonts w:ascii="Calibri" w:hAnsi="Calibri"/>
          <w:b w:val="0"/>
          <w:i w:val="0"/>
        </w:rPr>
        <w:t>across two engineering teams, with documented rejection criteria for burndown, velocity, and story-point anti-patterns — process governance built for signal, not ceremony.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·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2014 – Jun 2024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40+ enterprise client deployments end-to-end in a compliance-grade financial services environment </w:t>
      </w:r>
      <w:r>
        <w:rPr>
          <w:rFonts w:ascii="Calibri" w:hAnsi="Calibri"/>
          <w:b w:val="0"/>
          <w:i w:val="0"/>
        </w:rPr>
        <w:t>, partnering deeply with engineering on system behavior, data flows, integration dependencies, and technical tradeoffs — built strong instincts for regulatory-consequence delivery and requirements quality at scale.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internal subject-matter expert for an omni-channel communication product adopted across the full enterprise client base </w:t>
      </w:r>
      <w:r>
        <w:rPr>
          <w:rFonts w:ascii="Calibri" w:hAnsi="Calibri"/>
          <w:b w:val="0"/>
          <w:i w:val="0"/>
        </w:rPr>
        <w:t>, translating complex technical and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2006 – Jan 2014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Built and maintained complex client-facing document and communication systems in a regulated financial services environment — the governance and requirements-rigor foundation the later deployment-leadership work was built on.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 Strategy:  </w:t>
      </w:r>
      <w:r>
        <w:rPr>
          <w:rFonts w:ascii="Calibri" w:hAnsi="Calibri"/>
          <w:b w:val="0"/>
          <w:i w:val="0"/>
        </w:rPr>
        <w:t>Product vision and 2–3 year roadmap, OKRs into focused product bets, 0→1 product building, prioritization and tradeoff decisions in ambiguous spaces, outcomes over output, mentoring junior PMs, recognized SME leadership, influence without authority across product / engineering / GTM,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AI applied with intent where it adds real value, Claude Code prototyping, AI capability enablement at org scale, agentic workflows, AI-fluent product development, responsible / customer-centric AI judgment, Zero-Translation Building (framework originator)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Experimentation:  </w:t>
      </w:r>
      <w:r>
        <w:rPr>
          <w:rFonts w:ascii="Calibri" w:hAnsi="Calibri"/>
          <w:b w:val="0"/>
          <w:i w:val="0"/>
        </w:rPr>
        <w:t>Opinionated analytics products, composite scoring and risk modeling, success-metric definition, hypothesis-driven development, experimentation-informed prioritization, qualitative-to-structured synthesis, KPI definition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Technical Credibility:  </w:t>
      </w:r>
      <w:r>
        <w:rPr>
          <w:rFonts w:ascii="Calibri" w:hAnsi="Calibri"/>
          <w:b w:val="0"/>
          <w:i w:val="0"/>
        </w:rPr>
        <w:t>APIs and system architecture, data flows and integration tradeoffs, deployment-model and platform product thinking, technical-systems fluency with engineering, requirements engineering, SQL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·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·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where AI actually earns its place, adoption realism,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