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at principal scope  |  concept-to-launch ownership  |  data-driven product vision  |  zero-translation building</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Product Manager operating at principal scope who sets a unified product vision, then owns it from concept to launch — translating complex technical and business requirements into practical solutions distributed teams can build on. Multidisciplinary by default: market, business, and technical insight applied together, with data used to find the improvement that matters. I ship the working prototype, not just the spec: I wrote a 0→1 tool's prototype myself in Claude Code, idea to launch-ready in one week, and it's in production today. Two years at UKG inside a $250M ARR enterprise program; a decade prior at Broadridge engaging directly with enterprise customers in a compliance-grade environment. I do my best work in innovative, ambiguous environments.</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Remote / Lowell, MA  |  $250M ARR program  |  Concept-to-launch product, AI-enabled capabilities, and data-driven experience work</w:t>
      </w:r>
    </w:p>
    <w:p>
      <w:pPr>
        <w:pStyle w:val="ListBullet"/>
        <w:spacing w:before="0" w:after="60"/>
        <w:ind w:left="360"/>
      </w:pPr>
      <w:r>
        <w:rPr>
          <w:rFonts w:ascii="Calibri" w:hAnsi="Calibri"/>
          <w:b/>
          <w:i w:val="0"/>
        </w:rPr>
        <w:t xml:space="preserve">Guided a 0→1 product from initial concept to launch. </w:t>
      </w:r>
      <w:r>
        <w:rPr>
          <w:rFonts w:ascii="Calibri" w:hAnsi="Calibri"/>
          <w:b w:val="0"/>
          <w:i w:val="0"/>
        </w:rPr>
        <w:t>Set the vision, decomposed an ambiguous problem (UI, rules, deployment), wrote the working prototype myself in Claude Code, partnered with engineering and the platform architect to define scalable systems, and delivered the full roadmap — epics, stories, sequencing. In production with the first customer cohort: translated complex requirements into a practical, shippable solution.</w:t>
      </w:r>
    </w:p>
    <w:p>
      <w:pPr>
        <w:pStyle w:val="ListBullet"/>
        <w:spacing w:before="0" w:after="60"/>
        <w:ind w:left="360"/>
      </w:pPr>
      <w:r>
        <w:rPr>
          <w:rFonts w:ascii="Calibri" w:hAnsi="Calibri"/>
          <w:b/>
          <w:i w:val="0"/>
        </w:rPr>
        <w:t xml:space="preserve">Built the organization's first organized AI-enabled capability layer. </w:t>
      </w:r>
      <w:r>
        <w:rPr>
          <w:rFonts w:ascii="Calibri" w:hAnsi="Calibri"/>
          <w:b w:val="0"/>
          <w:i w:val="0"/>
        </w:rPr>
        <w:t>Started as a personal automation library; built it into shared infrastructure 20 PMs could pull from, ran the first peer group, and coached individual PMs into it. Cross-functional impact with no mandate behind it — aligned and motivated partners toward a shared goal.</w:t>
      </w:r>
    </w:p>
    <w:p>
      <w:pPr>
        <w:pStyle w:val="ListBullet"/>
        <w:spacing w:before="0" w:after="60"/>
        <w:ind w:left="360"/>
      </w:pPr>
      <w:r>
        <w:rPr>
          <w:rFonts w:ascii="Calibri" w:hAnsi="Calibri"/>
          <w:b/>
          <w:i w:val="0"/>
        </w:rPr>
        <w:t xml:space="preserve">Used data to identify experience-improvement opportunities </w:t>
      </w:r>
      <w:r>
        <w:rPr>
          <w:rFonts w:ascii="Calibri" w:hAnsi="Calibri"/>
          <w:b w:val="0"/>
          <w:i w:val="0"/>
        </w:rPr>
        <w:t>— a five-panel analytics product classifying open issues across escalations, defects, internal bugs, CVEs, and noise across four products, with a Claude Code function surfacing the single highest-leverage action per panel. Cut a ~200-item working list to a real five.</w:t>
      </w:r>
    </w:p>
    <w:p>
      <w:pPr>
        <w:pStyle w:val="ListBullet"/>
        <w:spacing w:before="0" w:after="60"/>
        <w:ind w:left="360"/>
      </w:pPr>
      <w:r>
        <w:rPr>
          <w:rFonts w:ascii="Calibri" w:hAnsi="Calibri"/>
          <w:b/>
          <w:i w:val="0"/>
        </w:rPr>
        <w:t xml:space="preserve">Built a composite risk model </w:t>
      </w:r>
      <w:r>
        <w:rPr>
          <w:rFonts w:ascii="Calibri" w:hAnsi="Calibri"/>
          <w:b w:val="0"/>
          <w:i w:val="0"/>
        </w:rPr>
        <w:t>scoring the top accounts on exposure, case volume, true-defect signal, and sentiment — not raw counts — combining market, business, and technical signal into a metric leadership acted on.</w:t>
      </w:r>
    </w:p>
    <w:p>
      <w:pPr>
        <w:pStyle w:val="ListBullet"/>
        <w:spacing w:before="0" w:after="60"/>
        <w:ind w:left="360"/>
      </w:pPr>
      <w:r>
        <w:rPr>
          <w:rFonts w:ascii="Calibri" w:hAnsi="Calibri"/>
          <w:b/>
          <w:i w:val="0"/>
        </w:rPr>
        <w:t xml:space="preserve">Engaged directly with customers in the escalation room </w:t>
      </w:r>
      <w:r>
        <w:rPr>
          <w:rFonts w:ascii="Calibri" w:hAnsi="Calibri"/>
          <w:b w:val="0"/>
          <w:i w:val="0"/>
        </w:rPr>
        <w:t>— understanding 300 enterprise customers' ($250M ARR) journey and needs, and articulating the product vision and tradeoffs across audiences from engineers to executives.</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Engaged directly with enterprise customers across 40+ deployments end-to-end in a compliance-grade environment; translated complex requirements into practical technology solutions and drove key decisions with cross-functional teams.</w:t>
      </w:r>
    </w:p>
    <w:p>
      <w:pPr>
        <w:pStyle w:val="ListBullet"/>
        <w:spacing w:before="0" w:after="60"/>
        <w:ind w:left="360"/>
      </w:pPr>
      <w:r>
        <w:rPr>
          <w:rFonts w:ascii="Calibri" w:hAnsi="Calibri"/>
          <w:b w:val="0"/>
          <w:i w:val="0"/>
        </w:rPr>
        <w:t>Internal subject-matter expert for an omni-channel product adopted across the full client base; respected cross-team expertise while turning complex capabilities into clear product direction.</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Unified product vision and roadmap, concept-to-launch ownership of full development cycles, Product-Triad / cross-functional collaboration, multidisciplinary thinking (market + business + technical), stakeholder alignment across levels, adaptability in ambiguous environments, B2B SaaS</w:t>
      </w:r>
    </w:p>
    <w:p>
      <w:pPr>
        <w:spacing w:before="0" w:after="60"/>
      </w:pPr>
      <w:r>
        <w:rPr>
          <w:rFonts w:ascii="Calibri" w:hAnsi="Calibri"/>
          <w:b/>
          <w:i w:val="0"/>
        </w:rPr>
        <w:t xml:space="preserve">AI &amp; Technical:  </w:t>
      </w:r>
      <w:r>
        <w:rPr>
          <w:rFonts w:ascii="Calibri" w:hAnsi="Calibri"/>
          <w:b w:val="0"/>
          <w:i w:val="0"/>
        </w:rPr>
        <w:t>AI-enabled product capabilities, Claude Code prototyping, partnering with engineering on scalable systems, technical-systems fluency (APIs, architecture, integration tradeoffs), zero-translation building</w:t>
      </w:r>
    </w:p>
    <w:p>
      <w:pPr>
        <w:spacing w:before="0" w:after="60"/>
      </w:pPr>
      <w:r>
        <w:rPr>
          <w:rFonts w:ascii="Calibri" w:hAnsi="Calibri"/>
          <w:b/>
          <w:i w:val="0"/>
        </w:rPr>
        <w:t xml:space="preserve">Data &amp; Experience:  </w:t>
      </w:r>
      <w:r>
        <w:rPr>
          <w:rFonts w:ascii="Calibri" w:hAnsi="Calibri"/>
          <w:b w:val="0"/>
          <w:i w:val="0"/>
        </w:rPr>
        <w:t>Data-driven experience-improvement identification, opinionated analytics products, composite scoring and risk modeling, KPI/success-metric definition, qualitative-to-structured synthesis</w:t>
      </w:r>
    </w:p>
    <w:p>
      <w:pPr>
        <w:spacing w:before="0" w:after="60"/>
      </w:pPr>
      <w:r>
        <w:rPr>
          <w:rFonts w:ascii="Calibri" w:hAnsi="Calibri"/>
          <w:b/>
          <w:i w:val="0"/>
        </w:rPr>
        <w:t xml:space="preserve">Customer &amp; Enterprise:  </w:t>
      </w:r>
      <w:r>
        <w:rPr>
          <w:rFonts w:ascii="Calibri" w:hAnsi="Calibri"/>
          <w:b w:val="0"/>
          <w:i w:val="0"/>
        </w:rPr>
        <w:t>Direct customer engagement and journey understanding, executive and cross-functional communication, compliance-grade enterprise delivery, multi-org coordination</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as a productivity multiplier, data-driven decision-making, and what's happening beneath the surface of how teams work. Originator of the Zero-Translation Building framework.</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