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AI-fluent prototyping  |  data products with opinion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building AI tooling, data products, and 0→1 systems — and shipping them fast. I write the working prototype, not just the spec — I built the 0→1 migration tool's prototype myself in Claude Code, idea to engineering-ready in one week, and it's in production today. Two years at UKG protecting 300 enterprise customers ($250M ARR) through a multi-year migration: owned product strategy and roadmap, set success metrics, drove cross-functional delivery, and scaled the org's first organized AI capability layer with no top-down mandate. UKG is an HCM platform — exactly the kind of workforce system embedded financial services reach frontline workers through. A decade prior at Broadridge: 40+ enterprise deployments in compliance-grade financial services.</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  AI tooling, data products, and 0→1 builds protecting enterprise customers through migration</w:t>
      </w:r>
    </w:p>
    <w:p>
      <w:pPr>
        <w:pStyle w:val="ListBullet"/>
        <w:spacing w:before="0" w:after="60"/>
        <w:ind w:left="360"/>
      </w:pPr>
      <w:r>
        <w:rPr>
          <w:rFonts w:ascii="Calibri" w:hAnsi="Calibri"/>
          <w:b/>
          <w:i w:val="0"/>
        </w:rPr>
        <w:t xml:space="preserve">Built a 0→1 self-serve migration tool — idea to engineering-ready in one week. </w:t>
      </w:r>
      <w:r>
        <w:rPr>
          <w:rFonts w:ascii="Calibri" w:hAnsi="Calibri"/>
          <w:b w:val="0"/>
          <w:i w:val="0"/>
        </w:rPr>
        <w:t>Took it from concept through three business-epic decomposition (UI, rules, deployment), wrote the working prototype myself in Claude Code, designed the UX feedback loop and persona, and handed engineering a complete delivery package — bepics, epics, stories, Gantt, roadmap. In production with the first customer cohort — 6 enterprise accounts in flight, Services running migrations without an engineering ticket. Built and shipped, not just specced.</w:t>
      </w:r>
    </w:p>
    <w:p>
      <w:pPr>
        <w:pStyle w:val="ListBullet"/>
        <w:spacing w:before="0" w:after="60"/>
        <w:ind w:left="360"/>
      </w:pPr>
      <w:r>
        <w:rPr>
          <w:rFonts w:ascii="Calibri" w:hAnsi="Calibri"/>
          <w:b/>
          <w:i w:val="0"/>
        </w:rPr>
        <w:t xml:space="preserve">Built UKG product's first organized AI capability layer. </w:t>
      </w:r>
      <w:r>
        <w:rPr>
          <w:rFonts w:ascii="Calibri" w:hAnsi="Calibri"/>
          <w:b w:val="0"/>
          <w:i w:val="0"/>
        </w:rPr>
        <w:t>Started as a personal automation library; built it into a shared repo 20 PMs could pull from, ran the first peer group, and sat with two PMs directly to configure it for their own use cases. Designed from the start to spread without a mandate — shared infrastructure, not personal tooling, because the only adoption that lasts is the kind nobody had to order.</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triaged signal, not noise. Opinionated routing, not a dashboard.</w:t>
      </w:r>
    </w:p>
    <w:p>
      <w:pPr>
        <w:pStyle w:val="ListBullet"/>
        <w:spacing w:before="0" w:after="60"/>
        <w:ind w:left="360"/>
      </w:pPr>
      <w:r>
        <w:rPr>
          <w:rFonts w:ascii="Calibri" w:hAnsi="Calibri"/>
          <w:b/>
          <w:i w:val="0"/>
        </w:rPr>
        <w:t xml:space="preserve">Built an ARR-risk model for the upgrade program </w:t>
      </w:r>
      <w:r>
        <w:rPr>
          <w:rFonts w:ascii="Calibri" w:hAnsi="Calibri"/>
          <w:b w:val="0"/>
          <w:i w:val="0"/>
        </w:rPr>
        <w:t>scoring the top 10 accounts on a blend of ARR exposure, reported-case volume, true-defect count, and Salesforce sentiment — not raw ticket counts. Defined the success metric, automated weekly reporting, and routed every open blocker to the program lead; live tracking surfaced aging issues before they escalated.</w:t>
      </w:r>
    </w:p>
    <w:p>
      <w:pPr>
        <w:pStyle w:val="ListBullet"/>
        <w:spacing w:before="0" w:after="60"/>
        <w:ind w:left="360"/>
      </w:pPr>
      <w:r>
        <w:rPr>
          <w:rFonts w:ascii="Calibri" w:hAnsi="Calibri"/>
          <w:b/>
          <w:i w:val="0"/>
        </w:rPr>
        <w:t xml:space="preserve">Served as the product-side voice on enterprise customer escalation and pre-upgrade calls </w:t>
      </w:r>
      <w:r>
        <w:rPr>
          <w:rFonts w:ascii="Calibri" w:hAnsi="Calibri"/>
          <w:b w:val="0"/>
          <w:i w:val="0"/>
        </w:rPr>
        <w:t>— synthesizing what 300 customers ($250M ARR) actually needed versus what was on the roadmap, turning behavior and qualitative signal into prioritization and tradeoff decisions across product, engineering, and GTM.</w:t>
      </w:r>
    </w:p>
    <w:p>
      <w:pPr>
        <w:pStyle w:val="ListBullet"/>
        <w:spacing w:before="0" w:after="60"/>
        <w:ind w:left="360"/>
      </w:pPr>
      <w:r>
        <w:rPr>
          <w:rFonts w:ascii="Calibri" w:hAnsi="Calibri"/>
          <w:b/>
          <w:i w:val="0"/>
        </w:rPr>
        <w:t xml:space="preserve">Designed sprint health instrumentation </w:t>
      </w:r>
      <w:r>
        <w:rPr>
          <w:rFonts w:ascii="Calibri" w:hAnsi="Calibri"/>
          <w:b w:val="0"/>
          <w:i w:val="0"/>
        </w:rPr>
        <w:t>refreshing every 15 minutes across two engineering teams, with documented rejection criteria for burndown, velocity, and story-point anti-patterns — each with technical rationale. Built for signal, not ceremony.</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deployments end-to-end in a compliance-grade financial services environment; partnered deeply with engineering on system behavior, data flows, and technical tradeoffs, and built strong instincts for turning messy customer input into clear, buildable requirements.</w:t>
      </w:r>
    </w:p>
    <w:p>
      <w:pPr>
        <w:pStyle w:val="ListBullet"/>
        <w:spacing w:before="0" w:after="60"/>
        <w:ind w:left="360"/>
      </w:pPr>
      <w:r>
        <w:rPr>
          <w:rFonts w:ascii="Calibri" w:hAnsi="Calibri"/>
          <w:b w:val="0"/>
          <w:i w:val="0"/>
        </w:rPr>
        <w:t>Internal SME for an omni-channel communication product adopted across the full client base; turned complex capabilities into experiences non-technical users could operate without support.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AI as Co-Builder:  </w:t>
      </w:r>
      <w:r>
        <w:rPr>
          <w:rFonts w:ascii="Calibri" w:hAnsi="Calibri"/>
          <w:b w:val="0"/>
          <w:i w:val="0"/>
        </w:rPr>
        <w:t>Deep working fluency with current AI tools, Claude Code prototyping, agentic workflows, AI-fluent product development, technical-systems fluency (APIs, data models, integration tradeoffs), PM automation, zero-translation building</w:t>
      </w:r>
    </w:p>
    <w:p>
      <w:pPr>
        <w:spacing w:before="0" w:after="60"/>
      </w:pPr>
      <w:r>
        <w:rPr>
          <w:rFonts w:ascii="Calibri" w:hAnsi="Calibri"/>
          <w:b/>
          <w:i w:val="0"/>
        </w:rPr>
        <w:t xml:space="preserve">Data &amp; Analytics:  </w:t>
      </w:r>
      <w:r>
        <w:rPr>
          <w:rFonts w:ascii="Calibri" w:hAnsi="Calibri"/>
          <w:b w:val="0"/>
          <w:i w:val="0"/>
        </w:rPr>
        <w:t>Data products with opinion, hypothesis design and success-metric definition, composite scoring and risk modeling, experiment-adjacent measurement design, opinionated instrumentation, qualitative-to-structured synthesis, data-driven decisioning</w:t>
      </w:r>
    </w:p>
    <w:p>
      <w:pPr>
        <w:spacing w:before="0" w:after="60"/>
      </w:pPr>
      <w:r>
        <w:rPr>
          <w:rFonts w:ascii="Calibri" w:hAnsi="Calibri"/>
          <w:b/>
          <w:i w:val="0"/>
        </w:rPr>
        <w:t xml:space="preserve">Product:  </w:t>
      </w:r>
      <w:r>
        <w:rPr>
          <w:rFonts w:ascii="Calibri" w:hAnsi="Calibri"/>
          <w:b w:val="0"/>
          <w:i w:val="0"/>
        </w:rPr>
        <w:t>0→1 product building and iteration, product strategy and roadmap, prioritization and tradeoff decisions in ambiguous spaces, discovery-through-launch ownership, end-to-end delivery from prototype to production, cross-functional influence, B2B SaaS</w:t>
      </w:r>
    </w:p>
    <w:p>
      <w:pPr>
        <w:spacing w:before="0" w:after="60"/>
      </w:pPr>
      <w:r>
        <w:rPr>
          <w:rFonts w:ascii="Calibri" w:hAnsi="Calibri"/>
          <w:b/>
          <w:i w:val="0"/>
        </w:rPr>
        <w:t xml:space="preserve">Fintech &amp; Enterprise:  </w:t>
      </w:r>
      <w:r>
        <w:rPr>
          <w:rFonts w:ascii="Calibri" w:hAnsi="Calibri"/>
          <w:b w:val="0"/>
          <w:i w:val="0"/>
        </w:rPr>
        <w:t>Compliance-grade financial services, HCM / workforce-platform environment, embedded-services distribution context, regulatory-consequence delivery, executive customer engagement, escalation-room presence</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