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830A1" w14:textId="77777777" w:rsidR="00A22EC6" w:rsidRDefault="00A22EC6">
      <w:r>
        <w:t>Ian Cross</w:t>
      </w:r>
    </w:p>
    <w:p w14:paraId="4F6E8839" w14:textId="77777777" w:rsidR="00A22EC6" w:rsidRDefault="00A22EC6">
      <w:r>
        <w:t>Machine Learning A1</w:t>
      </w:r>
    </w:p>
    <w:p w14:paraId="5E6CD696" w14:textId="77777777" w:rsidR="00A22EC6" w:rsidRDefault="00A22EC6"/>
    <w:p w14:paraId="10711734" w14:textId="77777777" w:rsidR="00A22EC6" w:rsidRDefault="00A22EC6">
      <w:r>
        <w:t>2.1</w:t>
      </w:r>
    </w:p>
    <w:p w14:paraId="5D93F025" w14:textId="77777777" w:rsidR="00A22EC6" w:rsidRDefault="00A22EC6">
      <w:r>
        <w:t>(Basic line graph from excel)</w:t>
      </w:r>
    </w:p>
    <w:p w14:paraId="0F709582" w14:textId="77777777" w:rsidR="00A22EC6" w:rsidRDefault="00A22EC6">
      <w:r>
        <w:rPr>
          <w:noProof/>
        </w:rPr>
        <w:drawing>
          <wp:inline distT="0" distB="0" distL="0" distR="0" wp14:anchorId="30919CB4" wp14:editId="5D356707">
            <wp:extent cx="5486400" cy="4051935"/>
            <wp:effectExtent l="0" t="0" r="25400" b="374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D245C70" w14:textId="77777777" w:rsidR="00A22EC6" w:rsidRDefault="00A22EC6"/>
    <w:p w14:paraId="26FB2814" w14:textId="77777777" w:rsidR="00A22EC6" w:rsidRDefault="00A22EC6"/>
    <w:p w14:paraId="0C3D569E" w14:textId="77777777" w:rsidR="005758F4" w:rsidRDefault="00A22EC6">
      <w:r w:rsidRPr="00A22EC6">
        <w:t xml:space="preserve">We can conclude a couple of things </w:t>
      </w:r>
      <w:r>
        <w:t>about the algorithm sensitivity</w:t>
      </w:r>
    </w:p>
    <w:p w14:paraId="2830AC96" w14:textId="77777777" w:rsidR="00A22EC6" w:rsidRDefault="00A22EC6" w:rsidP="00A22EC6">
      <w:pPr>
        <w:pStyle w:val="ListParagraph"/>
        <w:numPr>
          <w:ilvl w:val="0"/>
          <w:numId w:val="1"/>
        </w:numPr>
      </w:pPr>
      <w:r>
        <w:t>For the J48 classifier, the number of the features doesn’t really affect the overall accuracy of the algorithm. This means that those extra features are irrelevant (and actually make it slightly worse).</w:t>
      </w:r>
    </w:p>
    <w:p w14:paraId="6E59D161" w14:textId="77777777" w:rsidR="00A22EC6" w:rsidRDefault="00A22EC6" w:rsidP="00A22EC6">
      <w:pPr>
        <w:pStyle w:val="ListParagraph"/>
        <w:numPr>
          <w:ilvl w:val="0"/>
          <w:numId w:val="1"/>
        </w:numPr>
      </w:pPr>
      <w:r>
        <w:t xml:space="preserve">However, for the </w:t>
      </w:r>
      <w:proofErr w:type="spellStart"/>
      <w:r>
        <w:t>IBk</w:t>
      </w:r>
      <w:proofErr w:type="spellEnd"/>
      <w:r>
        <w:t xml:space="preserve"> classifier, the extra features actually make the accuracy much worse, and using the initial 14 features has the highest percent accuracy.</w:t>
      </w:r>
    </w:p>
    <w:p w14:paraId="06C25CBE" w14:textId="77777777" w:rsidR="00A22EC6" w:rsidRDefault="00A22EC6" w:rsidP="00A22EC6"/>
    <w:p w14:paraId="696CAB14" w14:textId="77777777" w:rsidR="00A22EC6" w:rsidRDefault="00A22EC6" w:rsidP="00A22EC6"/>
    <w:p w14:paraId="08EC181A" w14:textId="77777777" w:rsidR="009A6C75" w:rsidRDefault="009A6C75" w:rsidP="00A22EC6"/>
    <w:p w14:paraId="64655E42" w14:textId="77777777" w:rsidR="009A6C75" w:rsidRDefault="009A6C75" w:rsidP="00A22EC6"/>
    <w:p w14:paraId="1FDDE863" w14:textId="77777777" w:rsidR="009A6C75" w:rsidRDefault="009A6C75" w:rsidP="00A22EC6"/>
    <w:p w14:paraId="1F28F2B6" w14:textId="77777777" w:rsidR="009A6C75" w:rsidRDefault="009A6C75" w:rsidP="00A22EC6"/>
    <w:p w14:paraId="00F3F44E" w14:textId="77777777" w:rsidR="009A6C75" w:rsidRDefault="009A6C75" w:rsidP="00A22EC6"/>
    <w:p w14:paraId="29F0130D" w14:textId="77777777" w:rsidR="009A6C75" w:rsidRDefault="009A6C75" w:rsidP="00A22EC6"/>
    <w:p w14:paraId="7A17B4D5" w14:textId="77777777" w:rsidR="009A6C75" w:rsidRDefault="009A6C75" w:rsidP="00A22EC6"/>
    <w:p w14:paraId="7A815649" w14:textId="77777777" w:rsidR="009A6C75" w:rsidRDefault="009A6C75" w:rsidP="00A22EC6">
      <w:r>
        <w:lastRenderedPageBreak/>
        <w:t>Problem 2.2 – Learning Curves</w:t>
      </w:r>
    </w:p>
    <w:p w14:paraId="4ED81D57" w14:textId="77777777" w:rsidR="009A6C75" w:rsidRDefault="009A6C75" w:rsidP="00A22EC6"/>
    <w:p w14:paraId="53EA5EF5" w14:textId="77777777" w:rsidR="00A22EC6" w:rsidRDefault="0001502A" w:rsidP="00A22EC6">
      <w:r>
        <w:rPr>
          <w:noProof/>
        </w:rPr>
        <w:drawing>
          <wp:inline distT="0" distB="0" distL="0" distR="0" wp14:anchorId="64BE55E0" wp14:editId="74F16683">
            <wp:extent cx="5717569" cy="4686300"/>
            <wp:effectExtent l="0" t="0" r="2286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TableGrid"/>
        <w:tblpPr w:leftFromText="180" w:rightFromText="180" w:vertAnchor="page" w:horzAnchor="page" w:tblpX="3709" w:tblpY="9721"/>
        <w:tblW w:w="0" w:type="auto"/>
        <w:tblLook w:val="04A0" w:firstRow="1" w:lastRow="0" w:firstColumn="1" w:lastColumn="0" w:noHBand="0" w:noVBand="1"/>
      </w:tblPr>
      <w:tblGrid>
        <w:gridCol w:w="1819"/>
        <w:gridCol w:w="1300"/>
        <w:gridCol w:w="1300"/>
      </w:tblGrid>
      <w:tr w:rsidR="008473DA" w:rsidRPr="008473DA" w14:paraId="42814759" w14:textId="77777777" w:rsidTr="008473DA">
        <w:trPr>
          <w:trHeight w:val="300"/>
        </w:trPr>
        <w:tc>
          <w:tcPr>
            <w:tcW w:w="1819" w:type="dxa"/>
            <w:noWrap/>
            <w:hideMark/>
          </w:tcPr>
          <w:p w14:paraId="6149BA5D" w14:textId="77777777" w:rsidR="008473DA" w:rsidRPr="008473DA" w:rsidRDefault="008473DA" w:rsidP="008473DA"/>
        </w:tc>
        <w:tc>
          <w:tcPr>
            <w:tcW w:w="1300" w:type="dxa"/>
            <w:noWrap/>
            <w:hideMark/>
          </w:tcPr>
          <w:p w14:paraId="647F680F" w14:textId="77777777" w:rsidR="008473DA" w:rsidRPr="008473DA" w:rsidRDefault="008473DA" w:rsidP="008473DA">
            <w:r w:rsidRPr="008473DA">
              <w:t>Mean</w:t>
            </w:r>
          </w:p>
        </w:tc>
        <w:tc>
          <w:tcPr>
            <w:tcW w:w="1300" w:type="dxa"/>
            <w:noWrap/>
            <w:hideMark/>
          </w:tcPr>
          <w:p w14:paraId="06C80555" w14:textId="77777777" w:rsidR="008473DA" w:rsidRPr="008473DA" w:rsidRDefault="008473DA" w:rsidP="008473DA">
            <w:r w:rsidRPr="008473DA">
              <w:t>Standard Deviation</w:t>
            </w:r>
          </w:p>
        </w:tc>
      </w:tr>
      <w:tr w:rsidR="008473DA" w:rsidRPr="008473DA" w14:paraId="604C7474" w14:textId="77777777" w:rsidTr="008473DA">
        <w:trPr>
          <w:trHeight w:val="300"/>
        </w:trPr>
        <w:tc>
          <w:tcPr>
            <w:tcW w:w="1819" w:type="dxa"/>
            <w:noWrap/>
            <w:hideMark/>
          </w:tcPr>
          <w:p w14:paraId="749B0762" w14:textId="77777777" w:rsidR="008473DA" w:rsidRPr="008473DA" w:rsidRDefault="008473DA" w:rsidP="008473DA">
            <w:r w:rsidRPr="008473DA">
              <w:t>J48 on 14Features</w:t>
            </w:r>
          </w:p>
        </w:tc>
        <w:tc>
          <w:tcPr>
            <w:tcW w:w="1300" w:type="dxa"/>
            <w:noWrap/>
            <w:hideMark/>
          </w:tcPr>
          <w:p w14:paraId="7A772393" w14:textId="77777777" w:rsidR="008473DA" w:rsidRPr="008473DA" w:rsidRDefault="008473DA" w:rsidP="008473DA">
            <w:r w:rsidRPr="008473DA">
              <w:t>70.67</w:t>
            </w:r>
          </w:p>
        </w:tc>
        <w:tc>
          <w:tcPr>
            <w:tcW w:w="1300" w:type="dxa"/>
            <w:noWrap/>
            <w:hideMark/>
          </w:tcPr>
          <w:p w14:paraId="479CAAAC" w14:textId="77777777" w:rsidR="008473DA" w:rsidRPr="008473DA" w:rsidRDefault="008473DA" w:rsidP="008473DA">
            <w:r w:rsidRPr="008473DA">
              <w:t>5.11</w:t>
            </w:r>
          </w:p>
        </w:tc>
      </w:tr>
      <w:tr w:rsidR="008473DA" w:rsidRPr="008473DA" w14:paraId="7A2E70A0" w14:textId="77777777" w:rsidTr="008473DA">
        <w:trPr>
          <w:trHeight w:val="300"/>
        </w:trPr>
        <w:tc>
          <w:tcPr>
            <w:tcW w:w="1819" w:type="dxa"/>
            <w:noWrap/>
            <w:hideMark/>
          </w:tcPr>
          <w:p w14:paraId="701C7C86" w14:textId="77777777" w:rsidR="008473DA" w:rsidRPr="008473DA" w:rsidRDefault="008473DA" w:rsidP="008473DA">
            <w:r w:rsidRPr="008473DA">
              <w:t>J48 on 54Features</w:t>
            </w:r>
          </w:p>
        </w:tc>
        <w:tc>
          <w:tcPr>
            <w:tcW w:w="1300" w:type="dxa"/>
            <w:noWrap/>
            <w:hideMark/>
          </w:tcPr>
          <w:p w14:paraId="0FE22096" w14:textId="77777777" w:rsidR="008473DA" w:rsidRPr="008473DA" w:rsidRDefault="008473DA" w:rsidP="008473DA">
            <w:r w:rsidRPr="008473DA">
              <w:t>61.28</w:t>
            </w:r>
          </w:p>
        </w:tc>
        <w:tc>
          <w:tcPr>
            <w:tcW w:w="1300" w:type="dxa"/>
            <w:noWrap/>
            <w:hideMark/>
          </w:tcPr>
          <w:p w14:paraId="7108D05D" w14:textId="77777777" w:rsidR="008473DA" w:rsidRPr="008473DA" w:rsidRDefault="008473DA" w:rsidP="008473DA">
            <w:r w:rsidRPr="008473DA">
              <w:t>7.97</w:t>
            </w:r>
          </w:p>
        </w:tc>
      </w:tr>
      <w:tr w:rsidR="008473DA" w:rsidRPr="008473DA" w14:paraId="71FC2AE6" w14:textId="77777777" w:rsidTr="008473DA">
        <w:trPr>
          <w:trHeight w:val="300"/>
        </w:trPr>
        <w:tc>
          <w:tcPr>
            <w:tcW w:w="1819" w:type="dxa"/>
            <w:noWrap/>
            <w:hideMark/>
          </w:tcPr>
          <w:p w14:paraId="62A3993E" w14:textId="77777777" w:rsidR="008473DA" w:rsidRPr="008473DA" w:rsidRDefault="008473DA" w:rsidP="008473DA">
            <w:proofErr w:type="spellStart"/>
            <w:r w:rsidRPr="008473DA">
              <w:t>Ibk</w:t>
            </w:r>
            <w:proofErr w:type="spellEnd"/>
            <w:r w:rsidRPr="008473DA">
              <w:t xml:space="preserve"> on 14Features</w:t>
            </w:r>
          </w:p>
        </w:tc>
        <w:tc>
          <w:tcPr>
            <w:tcW w:w="1300" w:type="dxa"/>
            <w:noWrap/>
            <w:hideMark/>
          </w:tcPr>
          <w:p w14:paraId="393AC7C0" w14:textId="77777777" w:rsidR="008473DA" w:rsidRPr="008473DA" w:rsidRDefault="008473DA" w:rsidP="008473DA">
            <w:r w:rsidRPr="008473DA">
              <w:t>75.5</w:t>
            </w:r>
          </w:p>
        </w:tc>
        <w:tc>
          <w:tcPr>
            <w:tcW w:w="1300" w:type="dxa"/>
            <w:noWrap/>
            <w:hideMark/>
          </w:tcPr>
          <w:p w14:paraId="1F0DDDA1" w14:textId="77777777" w:rsidR="008473DA" w:rsidRPr="008473DA" w:rsidRDefault="008473DA" w:rsidP="008473DA">
            <w:r w:rsidRPr="008473DA">
              <w:t>8.31</w:t>
            </w:r>
          </w:p>
        </w:tc>
      </w:tr>
      <w:tr w:rsidR="008473DA" w:rsidRPr="008473DA" w14:paraId="320EAFDB" w14:textId="77777777" w:rsidTr="008473DA">
        <w:trPr>
          <w:trHeight w:val="300"/>
        </w:trPr>
        <w:tc>
          <w:tcPr>
            <w:tcW w:w="1819" w:type="dxa"/>
            <w:noWrap/>
            <w:hideMark/>
          </w:tcPr>
          <w:p w14:paraId="7206A958" w14:textId="77777777" w:rsidR="008473DA" w:rsidRPr="008473DA" w:rsidRDefault="008473DA" w:rsidP="008473DA">
            <w:proofErr w:type="spellStart"/>
            <w:r w:rsidRPr="008473DA">
              <w:t>Lbk</w:t>
            </w:r>
            <w:proofErr w:type="spellEnd"/>
            <w:r w:rsidRPr="008473DA">
              <w:t xml:space="preserve"> on 54Features</w:t>
            </w:r>
          </w:p>
        </w:tc>
        <w:tc>
          <w:tcPr>
            <w:tcW w:w="1300" w:type="dxa"/>
            <w:noWrap/>
            <w:hideMark/>
          </w:tcPr>
          <w:p w14:paraId="049B957A" w14:textId="77777777" w:rsidR="008473DA" w:rsidRPr="008473DA" w:rsidRDefault="008473DA" w:rsidP="008473DA">
            <w:r w:rsidRPr="008473DA">
              <w:t>52.33</w:t>
            </w:r>
          </w:p>
        </w:tc>
        <w:tc>
          <w:tcPr>
            <w:tcW w:w="1300" w:type="dxa"/>
            <w:noWrap/>
            <w:hideMark/>
          </w:tcPr>
          <w:p w14:paraId="5FC20A36" w14:textId="77777777" w:rsidR="008473DA" w:rsidRPr="008473DA" w:rsidRDefault="008473DA" w:rsidP="008473DA">
            <w:r w:rsidRPr="008473DA">
              <w:t>1.639</w:t>
            </w:r>
          </w:p>
        </w:tc>
      </w:tr>
    </w:tbl>
    <w:p w14:paraId="787D3028" w14:textId="77777777" w:rsidR="009A6C75" w:rsidRDefault="009A6C75" w:rsidP="00A22EC6"/>
    <w:p w14:paraId="75AD794C" w14:textId="77777777" w:rsidR="008473DA" w:rsidRDefault="008473DA" w:rsidP="00A22EC6"/>
    <w:p w14:paraId="1B1341BD" w14:textId="77777777" w:rsidR="008473DA" w:rsidRDefault="008473DA" w:rsidP="00A22EC6"/>
    <w:p w14:paraId="4CCD9D24" w14:textId="77777777" w:rsidR="008473DA" w:rsidRDefault="008473DA" w:rsidP="00A22EC6"/>
    <w:p w14:paraId="071251BD" w14:textId="77777777" w:rsidR="008473DA" w:rsidRDefault="008473DA" w:rsidP="00A22EC6"/>
    <w:p w14:paraId="64D66319" w14:textId="77777777" w:rsidR="008473DA" w:rsidRDefault="008473DA" w:rsidP="00A22EC6"/>
    <w:p w14:paraId="0FA4B311" w14:textId="77777777" w:rsidR="008473DA" w:rsidRDefault="008473DA" w:rsidP="00A22EC6"/>
    <w:p w14:paraId="3C7645C1" w14:textId="77777777" w:rsidR="008473DA" w:rsidRDefault="008473DA" w:rsidP="00A22EC6"/>
    <w:p w14:paraId="205EC7E5" w14:textId="77777777" w:rsidR="008473DA" w:rsidRDefault="008473DA" w:rsidP="00A22EC6"/>
    <w:p w14:paraId="6F275A4E" w14:textId="77777777" w:rsidR="008473DA" w:rsidRDefault="008473DA" w:rsidP="00A22EC6"/>
    <w:p w14:paraId="53C0526E" w14:textId="77777777" w:rsidR="008473DA" w:rsidRDefault="008473DA" w:rsidP="00A22EC6"/>
    <w:p w14:paraId="1427159D" w14:textId="77777777" w:rsidR="008473DA" w:rsidRDefault="008473DA" w:rsidP="00A22EC6"/>
    <w:p w14:paraId="3A74DEBC" w14:textId="77777777" w:rsidR="008473DA" w:rsidRDefault="008473DA" w:rsidP="00A22EC6">
      <w:r>
        <w:t>I would say that from these curves, we can say that generally the larger the training set size, the higher the accuracy of the algorithm (although there were cases that the lines remained somewhat cons</w:t>
      </w:r>
      <w:bookmarkStart w:id="0" w:name="_GoBack"/>
      <w:bookmarkEnd w:id="0"/>
      <w:r>
        <w:t>tant).</w:t>
      </w:r>
    </w:p>
    <w:sectPr w:rsidR="008473DA" w:rsidSect="005758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B94C07"/>
    <w:multiLevelType w:val="hybridMultilevel"/>
    <w:tmpl w:val="F066066A"/>
    <w:lvl w:ilvl="0" w:tplc="F4425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EC6"/>
    <w:rsid w:val="0001502A"/>
    <w:rsid w:val="005758F4"/>
    <w:rsid w:val="008473DA"/>
    <w:rsid w:val="009A6C75"/>
    <w:rsid w:val="00A22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9019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EC6"/>
    <w:pPr>
      <w:ind w:left="720"/>
      <w:contextualSpacing/>
    </w:pPr>
  </w:style>
  <w:style w:type="paragraph" w:styleId="BalloonText">
    <w:name w:val="Balloon Text"/>
    <w:basedOn w:val="Normal"/>
    <w:link w:val="BalloonTextChar"/>
    <w:uiPriority w:val="99"/>
    <w:semiHidden/>
    <w:unhideWhenUsed/>
    <w:rsid w:val="00A22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EC6"/>
    <w:rPr>
      <w:rFonts w:ascii="Lucida Grande" w:hAnsi="Lucida Grande" w:cs="Lucida Grande"/>
      <w:sz w:val="18"/>
      <w:szCs w:val="18"/>
    </w:rPr>
  </w:style>
  <w:style w:type="table" w:styleId="TableGrid">
    <w:name w:val="Table Grid"/>
    <w:basedOn w:val="TableNormal"/>
    <w:uiPriority w:val="59"/>
    <w:rsid w:val="00847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EC6"/>
    <w:pPr>
      <w:ind w:left="720"/>
      <w:contextualSpacing/>
    </w:pPr>
  </w:style>
  <w:style w:type="paragraph" w:styleId="BalloonText">
    <w:name w:val="Balloon Text"/>
    <w:basedOn w:val="Normal"/>
    <w:link w:val="BalloonTextChar"/>
    <w:uiPriority w:val="99"/>
    <w:semiHidden/>
    <w:unhideWhenUsed/>
    <w:rsid w:val="00A22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EC6"/>
    <w:rPr>
      <w:rFonts w:ascii="Lucida Grande" w:hAnsi="Lucida Grande" w:cs="Lucida Grande"/>
      <w:sz w:val="18"/>
      <w:szCs w:val="18"/>
    </w:rPr>
  </w:style>
  <w:style w:type="table" w:styleId="TableGrid">
    <w:name w:val="Table Grid"/>
    <w:basedOn w:val="TableNormal"/>
    <w:uiPriority w:val="59"/>
    <w:rsid w:val="00847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022824">
      <w:bodyDiv w:val="1"/>
      <w:marLeft w:val="0"/>
      <w:marRight w:val="0"/>
      <w:marTop w:val="0"/>
      <w:marBottom w:val="0"/>
      <w:divBdr>
        <w:top w:val="none" w:sz="0" w:space="0" w:color="auto"/>
        <w:left w:val="none" w:sz="0" w:space="0" w:color="auto"/>
        <w:bottom w:val="none" w:sz="0" w:space="0" w:color="auto"/>
        <w:right w:val="none" w:sz="0" w:space="0" w:color="auto"/>
      </w:divBdr>
    </w:div>
    <w:div w:id="1642273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dministrator:Dropbox:compsci:Comp135:a1_2.1_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dministrator:Dropbox:compsci:Comp135:a1_2.1_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Sheet1!$B$2</c:f>
              <c:strCache>
                <c:ptCount val="1"/>
                <c:pt idx="0">
                  <c:v>J48</c:v>
                </c:pt>
              </c:strCache>
            </c:strRef>
          </c:tx>
          <c:marker>
            <c:symbol val="none"/>
          </c:marker>
          <c:cat>
            <c:numRef>
              <c:f>Sheet1!$A$3:$A$11</c:f>
              <c:numCache>
                <c:formatCode>General</c:formatCode>
                <c:ptCount val="9"/>
                <c:pt idx="0">
                  <c:v>14.0</c:v>
                </c:pt>
                <c:pt idx="1">
                  <c:v>24.0</c:v>
                </c:pt>
                <c:pt idx="2">
                  <c:v>34.0</c:v>
                </c:pt>
                <c:pt idx="3">
                  <c:v>44.0</c:v>
                </c:pt>
                <c:pt idx="4">
                  <c:v>54.0</c:v>
                </c:pt>
                <c:pt idx="5">
                  <c:v>64.0</c:v>
                </c:pt>
                <c:pt idx="6">
                  <c:v>74.0</c:v>
                </c:pt>
                <c:pt idx="7">
                  <c:v>84.0</c:v>
                </c:pt>
                <c:pt idx="8">
                  <c:v>94.0</c:v>
                </c:pt>
              </c:numCache>
            </c:numRef>
          </c:cat>
          <c:val>
            <c:numRef>
              <c:f>Sheet1!$B$3:$B$11</c:f>
              <c:numCache>
                <c:formatCode>General</c:formatCode>
                <c:ptCount val="9"/>
                <c:pt idx="0">
                  <c:v>76.5</c:v>
                </c:pt>
                <c:pt idx="1">
                  <c:v>76.5</c:v>
                </c:pt>
                <c:pt idx="2">
                  <c:v>75.5</c:v>
                </c:pt>
                <c:pt idx="3">
                  <c:v>76.0</c:v>
                </c:pt>
                <c:pt idx="4">
                  <c:v>74.5</c:v>
                </c:pt>
                <c:pt idx="5">
                  <c:v>74.5</c:v>
                </c:pt>
                <c:pt idx="6">
                  <c:v>73.5</c:v>
                </c:pt>
                <c:pt idx="7">
                  <c:v>73.5</c:v>
                </c:pt>
                <c:pt idx="8">
                  <c:v>72.5</c:v>
                </c:pt>
              </c:numCache>
            </c:numRef>
          </c:val>
          <c:smooth val="0"/>
        </c:ser>
        <c:ser>
          <c:idx val="1"/>
          <c:order val="1"/>
          <c:tx>
            <c:strRef>
              <c:f>Sheet1!$C$2</c:f>
              <c:strCache>
                <c:ptCount val="1"/>
                <c:pt idx="0">
                  <c:v>IBK</c:v>
                </c:pt>
              </c:strCache>
            </c:strRef>
          </c:tx>
          <c:marker>
            <c:symbol val="none"/>
          </c:marker>
          <c:cat>
            <c:numRef>
              <c:f>Sheet1!$A$3:$A$11</c:f>
              <c:numCache>
                <c:formatCode>General</c:formatCode>
                <c:ptCount val="9"/>
                <c:pt idx="0">
                  <c:v>14.0</c:v>
                </c:pt>
                <c:pt idx="1">
                  <c:v>24.0</c:v>
                </c:pt>
                <c:pt idx="2">
                  <c:v>34.0</c:v>
                </c:pt>
                <c:pt idx="3">
                  <c:v>44.0</c:v>
                </c:pt>
                <c:pt idx="4">
                  <c:v>54.0</c:v>
                </c:pt>
                <c:pt idx="5">
                  <c:v>64.0</c:v>
                </c:pt>
                <c:pt idx="6">
                  <c:v>74.0</c:v>
                </c:pt>
                <c:pt idx="7">
                  <c:v>84.0</c:v>
                </c:pt>
                <c:pt idx="8">
                  <c:v>94.0</c:v>
                </c:pt>
              </c:numCache>
            </c:numRef>
          </c:cat>
          <c:val>
            <c:numRef>
              <c:f>Sheet1!$C$3:$C$11</c:f>
              <c:numCache>
                <c:formatCode>General</c:formatCode>
                <c:ptCount val="9"/>
                <c:pt idx="0">
                  <c:v>78.0</c:v>
                </c:pt>
                <c:pt idx="1">
                  <c:v>55.0</c:v>
                </c:pt>
                <c:pt idx="2">
                  <c:v>50.0</c:v>
                </c:pt>
                <c:pt idx="3">
                  <c:v>53.5</c:v>
                </c:pt>
                <c:pt idx="4">
                  <c:v>54.0</c:v>
                </c:pt>
                <c:pt idx="5">
                  <c:v>57.0</c:v>
                </c:pt>
                <c:pt idx="6">
                  <c:v>47.0</c:v>
                </c:pt>
                <c:pt idx="7">
                  <c:v>51.0</c:v>
                </c:pt>
                <c:pt idx="8">
                  <c:v>48.5</c:v>
                </c:pt>
              </c:numCache>
            </c:numRef>
          </c:val>
          <c:smooth val="0"/>
        </c:ser>
        <c:dLbls>
          <c:showLegendKey val="0"/>
          <c:showVal val="0"/>
          <c:showCatName val="0"/>
          <c:showSerName val="0"/>
          <c:showPercent val="0"/>
          <c:showBubbleSize val="0"/>
        </c:dLbls>
        <c:marker val="1"/>
        <c:smooth val="0"/>
        <c:axId val="2086401528"/>
        <c:axId val="2086407064"/>
      </c:lineChart>
      <c:catAx>
        <c:axId val="2086401528"/>
        <c:scaling>
          <c:orientation val="minMax"/>
        </c:scaling>
        <c:delete val="0"/>
        <c:axPos val="b"/>
        <c:title>
          <c:tx>
            <c:rich>
              <a:bodyPr/>
              <a:lstStyle/>
              <a:p>
                <a:pPr>
                  <a:defRPr/>
                </a:pPr>
                <a:r>
                  <a:rPr lang="en-US"/>
                  <a:t>Number of Features</a:t>
                </a:r>
              </a:p>
            </c:rich>
          </c:tx>
          <c:layout/>
          <c:overlay val="0"/>
        </c:title>
        <c:numFmt formatCode="General" sourceLinked="1"/>
        <c:majorTickMark val="out"/>
        <c:minorTickMark val="none"/>
        <c:tickLblPos val="nextTo"/>
        <c:crossAx val="2086407064"/>
        <c:crosses val="autoZero"/>
        <c:auto val="1"/>
        <c:lblAlgn val="ctr"/>
        <c:lblOffset val="100"/>
        <c:noMultiLvlLbl val="0"/>
      </c:catAx>
      <c:valAx>
        <c:axId val="2086407064"/>
        <c:scaling>
          <c:orientation val="minMax"/>
        </c:scaling>
        <c:delete val="0"/>
        <c:axPos val="l"/>
        <c:majorGridlines/>
        <c:title>
          <c:tx>
            <c:rich>
              <a:bodyPr rot="0" vert="horz"/>
              <a:lstStyle/>
              <a:p>
                <a:pPr>
                  <a:defRPr/>
                </a:pPr>
                <a:r>
                  <a:rPr lang="en-US"/>
                  <a:t>Percent</a:t>
                </a:r>
                <a:endParaRPr lang="en-US" baseline="0"/>
              </a:p>
              <a:p>
                <a:pPr>
                  <a:defRPr/>
                </a:pPr>
                <a:r>
                  <a:rPr lang="en-US" baseline="0"/>
                  <a:t>Accuracy</a:t>
                </a:r>
                <a:endParaRPr lang="en-US"/>
              </a:p>
            </c:rich>
          </c:tx>
          <c:layout/>
          <c:overlay val="0"/>
        </c:title>
        <c:numFmt formatCode="General" sourceLinked="1"/>
        <c:majorTickMark val="out"/>
        <c:minorTickMark val="none"/>
        <c:tickLblPos val="nextTo"/>
        <c:crossAx val="20864015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Sheet1!$B$42</c:f>
              <c:strCache>
                <c:ptCount val="1"/>
                <c:pt idx="0">
                  <c:v>J48 on 14 Features</c:v>
                </c:pt>
              </c:strCache>
            </c:strRef>
          </c:tx>
          <c:marker>
            <c:symbol val="none"/>
          </c:marker>
          <c:cat>
            <c:numRef>
              <c:f>Sheet1!$A$43:$A$51</c:f>
              <c:numCache>
                <c:formatCode>General</c:formatCode>
                <c:ptCount val="9"/>
                <c:pt idx="0">
                  <c:v>49.0</c:v>
                </c:pt>
                <c:pt idx="1">
                  <c:v>98.0</c:v>
                </c:pt>
                <c:pt idx="2">
                  <c:v>147.0</c:v>
                </c:pt>
                <c:pt idx="3">
                  <c:v>196.0</c:v>
                </c:pt>
                <c:pt idx="4">
                  <c:v>245.0</c:v>
                </c:pt>
                <c:pt idx="5">
                  <c:v>294.0</c:v>
                </c:pt>
                <c:pt idx="6">
                  <c:v>343.0</c:v>
                </c:pt>
                <c:pt idx="7">
                  <c:v>392.0</c:v>
                </c:pt>
                <c:pt idx="8">
                  <c:v>441.0</c:v>
                </c:pt>
              </c:numCache>
            </c:numRef>
          </c:cat>
          <c:val>
            <c:numRef>
              <c:f>Sheet1!$B$43:$B$51</c:f>
              <c:numCache>
                <c:formatCode>General</c:formatCode>
                <c:ptCount val="9"/>
                <c:pt idx="0">
                  <c:v>63.5</c:v>
                </c:pt>
                <c:pt idx="1">
                  <c:v>63.5</c:v>
                </c:pt>
                <c:pt idx="2">
                  <c:v>71.0</c:v>
                </c:pt>
                <c:pt idx="3">
                  <c:v>66.5</c:v>
                </c:pt>
                <c:pt idx="4">
                  <c:v>71.0</c:v>
                </c:pt>
                <c:pt idx="5">
                  <c:v>76.5</c:v>
                </c:pt>
                <c:pt idx="6">
                  <c:v>72.5</c:v>
                </c:pt>
                <c:pt idx="7">
                  <c:v>76.0</c:v>
                </c:pt>
                <c:pt idx="8">
                  <c:v>75.5</c:v>
                </c:pt>
              </c:numCache>
            </c:numRef>
          </c:val>
          <c:smooth val="0"/>
        </c:ser>
        <c:ser>
          <c:idx val="1"/>
          <c:order val="1"/>
          <c:tx>
            <c:strRef>
              <c:f>Sheet1!$C$42</c:f>
              <c:strCache>
                <c:ptCount val="1"/>
                <c:pt idx="0">
                  <c:v>J48 on 54 Features</c:v>
                </c:pt>
              </c:strCache>
            </c:strRef>
          </c:tx>
          <c:marker>
            <c:symbol val="none"/>
          </c:marker>
          <c:cat>
            <c:numRef>
              <c:f>Sheet1!$A$43:$A$51</c:f>
              <c:numCache>
                <c:formatCode>General</c:formatCode>
                <c:ptCount val="9"/>
                <c:pt idx="0">
                  <c:v>49.0</c:v>
                </c:pt>
                <c:pt idx="1">
                  <c:v>98.0</c:v>
                </c:pt>
                <c:pt idx="2">
                  <c:v>147.0</c:v>
                </c:pt>
                <c:pt idx="3">
                  <c:v>196.0</c:v>
                </c:pt>
                <c:pt idx="4">
                  <c:v>245.0</c:v>
                </c:pt>
                <c:pt idx="5">
                  <c:v>294.0</c:v>
                </c:pt>
                <c:pt idx="6">
                  <c:v>343.0</c:v>
                </c:pt>
                <c:pt idx="7">
                  <c:v>392.0</c:v>
                </c:pt>
                <c:pt idx="8">
                  <c:v>441.0</c:v>
                </c:pt>
              </c:numCache>
            </c:numRef>
          </c:cat>
          <c:val>
            <c:numRef>
              <c:f>Sheet1!$C$43:$C$51</c:f>
              <c:numCache>
                <c:formatCode>General</c:formatCode>
                <c:ptCount val="9"/>
                <c:pt idx="0">
                  <c:v>49.0</c:v>
                </c:pt>
                <c:pt idx="1">
                  <c:v>63.0</c:v>
                </c:pt>
                <c:pt idx="2">
                  <c:v>61.0</c:v>
                </c:pt>
                <c:pt idx="3">
                  <c:v>65.0</c:v>
                </c:pt>
                <c:pt idx="4">
                  <c:v>49.5</c:v>
                </c:pt>
                <c:pt idx="5">
                  <c:v>63.0</c:v>
                </c:pt>
                <c:pt idx="6">
                  <c:v>59.0</c:v>
                </c:pt>
                <c:pt idx="7">
                  <c:v>69.5</c:v>
                </c:pt>
                <c:pt idx="8">
                  <c:v>72.5</c:v>
                </c:pt>
              </c:numCache>
            </c:numRef>
          </c:val>
          <c:smooth val="0"/>
        </c:ser>
        <c:ser>
          <c:idx val="2"/>
          <c:order val="2"/>
          <c:tx>
            <c:strRef>
              <c:f>Sheet1!$D$42</c:f>
              <c:strCache>
                <c:ptCount val="1"/>
                <c:pt idx="0">
                  <c:v>Ibk on 14 Features</c:v>
                </c:pt>
              </c:strCache>
            </c:strRef>
          </c:tx>
          <c:marker>
            <c:symbol val="none"/>
          </c:marker>
          <c:cat>
            <c:numRef>
              <c:f>Sheet1!$A$43:$A$51</c:f>
              <c:numCache>
                <c:formatCode>General</c:formatCode>
                <c:ptCount val="9"/>
                <c:pt idx="0">
                  <c:v>49.0</c:v>
                </c:pt>
                <c:pt idx="1">
                  <c:v>98.0</c:v>
                </c:pt>
                <c:pt idx="2">
                  <c:v>147.0</c:v>
                </c:pt>
                <c:pt idx="3">
                  <c:v>196.0</c:v>
                </c:pt>
                <c:pt idx="4">
                  <c:v>245.0</c:v>
                </c:pt>
                <c:pt idx="5">
                  <c:v>294.0</c:v>
                </c:pt>
                <c:pt idx="6">
                  <c:v>343.0</c:v>
                </c:pt>
                <c:pt idx="7">
                  <c:v>392.0</c:v>
                </c:pt>
                <c:pt idx="8">
                  <c:v>441.0</c:v>
                </c:pt>
              </c:numCache>
            </c:numRef>
          </c:cat>
          <c:val>
            <c:numRef>
              <c:f>Sheet1!$D$43:$D$51</c:f>
              <c:numCache>
                <c:formatCode>General</c:formatCode>
                <c:ptCount val="9"/>
                <c:pt idx="0">
                  <c:v>67.5</c:v>
                </c:pt>
                <c:pt idx="1">
                  <c:v>66.5</c:v>
                </c:pt>
                <c:pt idx="2">
                  <c:v>67.0</c:v>
                </c:pt>
                <c:pt idx="3">
                  <c:v>73.5</c:v>
                </c:pt>
                <c:pt idx="4">
                  <c:v>86.0</c:v>
                </c:pt>
                <c:pt idx="5">
                  <c:v>83.0</c:v>
                </c:pt>
                <c:pt idx="6">
                  <c:v>72.5</c:v>
                </c:pt>
                <c:pt idx="7">
                  <c:v>88.0</c:v>
                </c:pt>
                <c:pt idx="8">
                  <c:v>75.5</c:v>
                </c:pt>
              </c:numCache>
            </c:numRef>
          </c:val>
          <c:smooth val="0"/>
        </c:ser>
        <c:ser>
          <c:idx val="3"/>
          <c:order val="3"/>
          <c:tx>
            <c:strRef>
              <c:f>Sheet1!$E$42</c:f>
              <c:strCache>
                <c:ptCount val="1"/>
                <c:pt idx="0">
                  <c:v>LBK on 54 Features</c:v>
                </c:pt>
              </c:strCache>
            </c:strRef>
          </c:tx>
          <c:marker>
            <c:symbol val="none"/>
          </c:marker>
          <c:cat>
            <c:numRef>
              <c:f>Sheet1!$A$43:$A$51</c:f>
              <c:numCache>
                <c:formatCode>General</c:formatCode>
                <c:ptCount val="9"/>
                <c:pt idx="0">
                  <c:v>49.0</c:v>
                </c:pt>
                <c:pt idx="1">
                  <c:v>98.0</c:v>
                </c:pt>
                <c:pt idx="2">
                  <c:v>147.0</c:v>
                </c:pt>
                <c:pt idx="3">
                  <c:v>196.0</c:v>
                </c:pt>
                <c:pt idx="4">
                  <c:v>245.0</c:v>
                </c:pt>
                <c:pt idx="5">
                  <c:v>294.0</c:v>
                </c:pt>
                <c:pt idx="6">
                  <c:v>343.0</c:v>
                </c:pt>
                <c:pt idx="7">
                  <c:v>392.0</c:v>
                </c:pt>
                <c:pt idx="8">
                  <c:v>441.0</c:v>
                </c:pt>
              </c:numCache>
            </c:numRef>
          </c:cat>
          <c:val>
            <c:numRef>
              <c:f>Sheet1!$E$43:$E$51</c:f>
              <c:numCache>
                <c:formatCode>General</c:formatCode>
                <c:ptCount val="9"/>
                <c:pt idx="0">
                  <c:v>51.0</c:v>
                </c:pt>
                <c:pt idx="1">
                  <c:v>51.0</c:v>
                </c:pt>
                <c:pt idx="2">
                  <c:v>53.5</c:v>
                </c:pt>
                <c:pt idx="3">
                  <c:v>53.0</c:v>
                </c:pt>
                <c:pt idx="4">
                  <c:v>51.5</c:v>
                </c:pt>
                <c:pt idx="5">
                  <c:v>52.0</c:v>
                </c:pt>
                <c:pt idx="6">
                  <c:v>54.0</c:v>
                </c:pt>
                <c:pt idx="7">
                  <c:v>50.0</c:v>
                </c:pt>
                <c:pt idx="8">
                  <c:v>55.0</c:v>
                </c:pt>
              </c:numCache>
            </c:numRef>
          </c:val>
          <c:smooth val="0"/>
        </c:ser>
        <c:dLbls>
          <c:showLegendKey val="0"/>
          <c:showVal val="0"/>
          <c:showCatName val="0"/>
          <c:showSerName val="0"/>
          <c:showPercent val="0"/>
          <c:showBubbleSize val="0"/>
        </c:dLbls>
        <c:marker val="1"/>
        <c:smooth val="0"/>
        <c:axId val="2087680984"/>
        <c:axId val="2087686824"/>
      </c:lineChart>
      <c:catAx>
        <c:axId val="2087680984"/>
        <c:scaling>
          <c:orientation val="minMax"/>
        </c:scaling>
        <c:delete val="0"/>
        <c:axPos val="b"/>
        <c:majorGridlines/>
        <c:title>
          <c:tx>
            <c:rich>
              <a:bodyPr/>
              <a:lstStyle/>
              <a:p>
                <a:pPr>
                  <a:defRPr/>
                </a:pPr>
                <a:r>
                  <a:rPr lang="en-US"/>
                  <a:t>Number of Examples in each</a:t>
                </a:r>
                <a:r>
                  <a:rPr lang="en-US" baseline="0"/>
                  <a:t> DataSet</a:t>
                </a:r>
                <a:endParaRPr lang="en-US"/>
              </a:p>
            </c:rich>
          </c:tx>
          <c:layout/>
          <c:overlay val="0"/>
        </c:title>
        <c:numFmt formatCode="General" sourceLinked="1"/>
        <c:majorTickMark val="out"/>
        <c:minorTickMark val="none"/>
        <c:tickLblPos val="nextTo"/>
        <c:crossAx val="2087686824"/>
        <c:crosses val="autoZero"/>
        <c:auto val="1"/>
        <c:lblAlgn val="ctr"/>
        <c:lblOffset val="100"/>
        <c:noMultiLvlLbl val="0"/>
      </c:catAx>
      <c:valAx>
        <c:axId val="2087686824"/>
        <c:scaling>
          <c:orientation val="minMax"/>
          <c:max val="90.0"/>
          <c:min val="0.0"/>
        </c:scaling>
        <c:delete val="0"/>
        <c:axPos val="l"/>
        <c:majorGridlines/>
        <c:title>
          <c:tx>
            <c:rich>
              <a:bodyPr rot="0" vert="horz"/>
              <a:lstStyle/>
              <a:p>
                <a:pPr>
                  <a:defRPr/>
                </a:pPr>
                <a:r>
                  <a:rPr lang="en-US"/>
                  <a:t>Percent Accuracy</a:t>
                </a:r>
              </a:p>
            </c:rich>
          </c:tx>
          <c:layout>
            <c:manualLayout>
              <c:xMode val="edge"/>
              <c:yMode val="edge"/>
              <c:x val="0.00231481481481481"/>
              <c:y val="0.437217847769029"/>
            </c:manualLayout>
          </c:layout>
          <c:overlay val="0"/>
        </c:title>
        <c:numFmt formatCode="General" sourceLinked="1"/>
        <c:majorTickMark val="out"/>
        <c:minorTickMark val="none"/>
        <c:tickLblPos val="nextTo"/>
        <c:crossAx val="208768098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135</Words>
  <Characters>771</Characters>
  <Application>Microsoft Macintosh Word</Application>
  <DocSecurity>0</DocSecurity>
  <Lines>6</Lines>
  <Paragraphs>1</Paragraphs>
  <ScaleCrop>false</ScaleCrop>
  <Company/>
  <LinksUpToDate>false</LinksUpToDate>
  <CharactersWithSpaces>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2014-09-17T03:56:00Z</dcterms:created>
  <dcterms:modified xsi:type="dcterms:W3CDTF">2014-09-17T06:41:00Z</dcterms:modified>
</cp:coreProperties>
</file>