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NLP y embeddings</w:t>
      </w:r>
    </w:p>
    <w:p>
      <w:r>
        <w:t>Laboratorio 7 · Ian Cumes · carné 23236 · entrega individual</w:t>
      </w:r>
    </w:p>
    <w:p>
      <w:pPr>
        <w:pStyle w:val="Heading1"/>
      </w:pPr>
      <w:r>
        <w:t>Investigación y preprocesamiento</w:t>
      </w:r>
    </w:p>
    <w:p>
      <w:r>
        <w:t>Se implementó SGNS propio y se comparó con gensim y GloVe en analogías, similitud léxica y clasificación AG News. El mejor clasificador observado con todos los datos fue sgns_finetune, con F1 macro 92.10% en test. El notebook conserva resultados extensos, código comentado y manifiestos reproducibles.</w:t>
      </w:r>
    </w:p>
    <w:p>
      <w:r>
        <w:t>CBOW predice el centro desde el contexto; Skip-Gram predice contexto desde el centro. Negative sampling discrimina pares reales frente a ruido unigram elevado a 0.75. GloVe ajusta productos de vectores a logaritmos de coocurrencias globales ponderadas. Los dos métodos capturan relaciones distribucionales, pero asignan un único vector por palabra y pueden reproducir sesgos.</w:t>
      </w:r>
    </w:p>
    <w:p>
      <w:r>
        <w:t>nn.Embedding representa una tabla V × d. from_pretrained permite inicialización y congelamiento. EmbeddingBag reduce cada documento por mean, sum o max; offsets indica comienzos dentro de IDs concatenados. Aquí se usa mean, padding_idx=0 y una bolsa por noticia.</w:t>
      </w:r>
    </w:p>
    <w:p>
      <w:r>
        <w:t>El tokenizador propio usa minúsculas, palabras Unicode, apóstrofos internos, números y puntuación; repara marcadores @ y elimina especiales y signos de encabezados. Se comparó con NLTK Treebank en 12 oraciones: las contracciones y posesivos explican diferencias. No se aplicó stemming ni eliminación de stopwords.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Split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Artículos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Líneas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Tokens normalizados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train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29 443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1 801 350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102 356 963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validation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60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3 760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216 023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test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62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4 358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242 994</w:t>
            </w:r>
          </w:p>
        </w:tc>
      </w:tr>
    </w:tbl>
    <w:p>
      <w:r>
        <w:t>Se seleccionaron 5 886 artículos completos del entrenamiento, con semilla 23236, hasta 20 000 727 tokens. Los corpus 25/50/100% son prefijos anidados que terminan en artículos completos. Zipf: los top 10/1000/30000 cubren 28.69%/69.80%/96.26% de tokens.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3456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min_count</w:t>
            </w:r>
          </w:p>
        </w:tc>
        <w:tc>
          <w:tcPr>
            <w:tcW w:type="dxa" w:w="3456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Vocabulario seleccionado</w:t>
            </w:r>
          </w:p>
        </w:tc>
        <w:tc>
          <w:tcPr>
            <w:tcW w:type="dxa" w:w="3456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Tokens excluidos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456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211 559</w:t>
            </w:r>
          </w:p>
        </w:tc>
        <w:tc>
          <w:tcPr>
            <w:tcW w:type="dxa" w:w="3456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0.00%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456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72 216</w:t>
            </w:r>
          </w:p>
        </w:tc>
        <w:tc>
          <w:tcPr>
            <w:tcW w:type="dxa" w:w="3456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1.14%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3456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49 323</w:t>
            </w:r>
          </w:p>
        </w:tc>
        <w:tc>
          <w:tcPr>
            <w:tcW w:type="dxa" w:w="3456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1.89%</w:t>
            </w:r>
          </w:p>
        </w:tc>
      </w:tr>
    </w:tbl>
    <w:p>
      <w:r>
        <w:t>La preparación preserva fronteras de línea y bloques de hasta 1000 tokens. Gensim y SGNS reciben el mismo archivo de tokens elegibles, comprobado por hash y vocabulario. Los especiales y palabras bajo min_count no generan pares de entrenamiento.</w:t>
      </w:r>
    </w:p>
    <w:p>
      <w:r>
        <w:br w:type="page"/>
      </w:r>
    </w:p>
    <w:p>
      <w:pPr>
        <w:pStyle w:val="Heading1"/>
      </w:pPr>
      <w:r>
        <w:t>Entrenamiento y selección</w:t>
      </w:r>
    </w:p>
    <w:p>
      <w:r>
        <w:t>El SGNS propio usa dos tablas nn.Embedding dispersas. Minimiza −log σ(v·u) − Σ log σ(−v·n), preservando los vectores de entrada. Genera pares por bloques, sin cruzar contextos; rechaza negativos iguales al contexto positivo. La suma del minibatch guía SGD y la pérdida publicada se promedia por par.</w:t>
      </w:r>
    </w:p>
    <w:p>
      <w:r>
        <w:t>Cada configuración tiene tres epochs, minibatch de 4096 pares, min_count=5, subsampling t=10^-4 y SGD con learning rate lineal 0.025→0.0001. La ventana es fija. Se guardan checkpoint, pérdida, analogías semánticas/sintácticas, WordSim, vecinos de seis palabras, tiempos y memoria por epoch. La selección usa WordSim sin redondear sobre pares comunes y accuracy de analogías como desempate; SimLex queda reservado.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cantSplit/>
          <w:tblHeader/>
        </w:trPr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Configuración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d/w/k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Tokens corpus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Epoch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ρ WordSim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Acc analogías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Min total</w:t>
            </w:r>
          </w:p>
        </w:tc>
      </w:tr>
      <w:tr>
        <w:trPr>
          <w:cantSplit/>
        </w:trPr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base100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100/5/5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20 000 727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0.64609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27.67%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7.7</w:t>
            </w:r>
          </w:p>
        </w:tc>
      </w:tr>
      <w:tr>
        <w:trPr>
          <w:cantSplit/>
        </w:trPr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dim50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50/5/5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20 000 727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0.62422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22.48%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7.6</w:t>
            </w:r>
          </w:p>
        </w:tc>
      </w:tr>
      <w:tr>
        <w:trPr>
          <w:cantSplit/>
        </w:trPr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dim300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300/5/5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20 000 727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0.63519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27.27%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7.5</w:t>
            </w:r>
          </w:p>
        </w:tc>
      </w:tr>
      <w:tr>
        <w:trPr>
          <w:cantSplit/>
        </w:trPr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corpus25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100/5/5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5 005 631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0.53328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8.00%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1.6</w:t>
            </w:r>
          </w:p>
        </w:tc>
      </w:tr>
      <w:tr>
        <w:trPr>
          <w:cantSplit/>
        </w:trPr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corpus50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100/5/5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10 007 877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0.59154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17.23%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3.2</w:t>
            </w:r>
          </w:p>
        </w:tc>
      </w:tr>
      <w:tr>
        <w:trPr>
          <w:cantSplit/>
        </w:trPr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window2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100/2/5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20 000 727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0.57344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24.32%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2.7</w:t>
            </w:r>
          </w:p>
        </w:tc>
      </w:tr>
      <w:tr>
        <w:trPr>
          <w:cantSplit/>
        </w:trPr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negative10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100/5/10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20 000 727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0.64603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30.05%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9.9</w:t>
            </w:r>
          </w:p>
        </w:tc>
      </w:tr>
    </w:tbl>
    <w:p>
      <w:r>
        <w:t>Selección: base100, epoch 3, ρ WordSim=0.64609. En la base, el subsampling redujo 191 078 458 pares a 99 965 588 en la primera epoch; conservó 10 599 920 tokens elegibles. La pérdida media base pasó de 2.263 a 2.240.</w:t>
      </w:r>
    </w:p>
    <w:p>
      <w:r>
        <w:t>El descarte observado de the/of/and en la primera epoch fue the: 95.89%, of: 93.55%, and: 93.27%.</w:t>
      </w:r>
    </w:p>
    <w:p>
      <w:r>
        <w:t>Hardware medido: Tesla T4, PyTorch 2.8.0+cu126, Python 3.12.12; tiempo SGNS acumulado de las siete configuraciones 40.2 minutos. La memoria GPU máxima asignada a tensores durante entrenamiento fue 242.9 MiB. Estos tiempos excluyen descarga y evaluación.</w:t>
      </w:r>
    </w:p>
    <w:p>
      <w:r>
        <w:t>Gensim se entrenó en CPU Intel(R) Xeon(R) CPU @ 2.00GHz con cuatro workers, el mismo corpus/vocabulario y parámetros equivalentes. Sus actualizaciones Cython asíncronas difieren de los minibatches; descarta colisiones de negativos en vez de redibujarlas. Se registra cada epoch, sin exigir vectores numéricamente iguales.</w:t>
      </w:r>
    </w:p>
    <w:p>
      <w:r>
        <w:t>GloVe es exactamente glove-wiki-gigaword-100: 400000 palabras, 100d y 6 mil millones de tokens. El artículo informa dos Intel Xeon E5-2658 de 2.1 GHz, 85 min de coocurrencias en un hilo y 14 min por iteración de 300d en 32 cores. Son mediciones publicadas de otra dimensión; aquí no se entrenó GloVe.</w:t>
      </w:r>
    </w:p>
    <w:p>
      <w:r>
        <w:br w:type="page"/>
      </w:r>
    </w:p>
    <w:p>
      <w:pPr>
        <w:pStyle w:val="Heading1"/>
      </w:pPr>
      <w:r>
        <w:t>Aritmética vectorial y geometría</w:t>
      </w:r>
    </w:p>
    <w:p>
      <w:r>
        <w:t>analogia(a,b,c,k) implementa 3CosAdd con vectores individuales normalizados y búsqueda por coseno de b−a+c. Se excluyen las consultas a/b/c y se verificó coincidencia de top-5 y similitudes con gensim. 3CosMul usa el cociente de productos de cosenos desplazados a [0,1], con epsilon=10^-6. Las consultas excluidas impiden respuestas triviales.</w:t>
      </w:r>
    </w:p>
    <w:p>
      <w:r>
        <w:t>Los tres embeddings se evalúan sobre las mismas 12 227 preguntas cubiertas de 19 544, en 14 categorías, con exactamente 30000 candidatos compartidos: cobertura 62.56%. Accuracy usa solo preguntas cubiertas; la cobertura debe acompañarla. Los resultados por categoría están en el notebook.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cantSplit/>
          <w:tblHeader/>
        </w:trPr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Modelo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Sem. Add/Mul %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Sint. Add/Mul %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Total Add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Total Mul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Paralelismo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sgns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21.24/19.87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31.48/29.08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28.24%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26.16%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0.44716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gensim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22.27/20.80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31.83/29.57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28.81%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26.79%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0.45638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glove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60.36/57.29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67.23/65.85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65.05%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63.14%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0.59617</w:t>
            </w:r>
          </w:p>
        </w:tc>
      </w:tr>
    </w:tbl>
    <w:p>
      <w:r>
        <w:t>Se probaron 18 analogías personales de seis tipos, con top-5, similitudes, rango correcto, OOV y búsqueda con/sin exclusión. Ejemplos observados: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cantSplit/>
          <w:tblHeader/>
        </w:trPr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Modelo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Resultado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Consulta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Esperado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Top 1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Rango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sgns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Acierto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sister − brother + uncle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aunt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aunt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gensim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Acierto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paris − france + germany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berlin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berlin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glove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Acierto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woman − man + king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queen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queen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1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Categoría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SGNS Add/Mul %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Gensim Add/Mul %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GloVe Add/Mul %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Capitales comunes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32.9/31.2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35.1/34.2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94.4/92.4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Capitales mundo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19.0/17.9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19.9/19.1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87.4/83.8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Monedas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0.0/0.0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0.0/0.0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5.7/8.6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Ciudades/estados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15.4/13.9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16.7/14.7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28.7/25.1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Familia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47.7/46.5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46.8/44.2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88.3/87.4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Adj.→adverbio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4.6/3.8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5.7/4.7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28.1/28.2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Opuestos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6.5/3.9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6.5/3.3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28.8/24.8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Comparativos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35.2/31.6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36.5/34.3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80.4/78.0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Superlativos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19.5/20.4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19.4/19.7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61.3/62.4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Gerundios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23.8/19.4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22.6/18.4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73.1/72.2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Gentilicios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62.4/62.5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61.4/60.1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97.3/95.8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Pasado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39.9/35.8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42.4/38.7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55.9/53.6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Plurales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28.7/23.9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28.5/24.7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79.1/74.8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Verbos plurales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17.9/16.7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16.8/16.4</w:t>
            </w:r>
          </w:p>
        </w:tc>
        <w:tc>
          <w:tcPr>
            <w:tcW w:type="dxa" w:w="259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58.5/60.6</w:t>
            </w:r>
          </w:p>
        </w:tc>
      </w:tr>
    </w:tbl>
    <w:p>
      <w:r>
        <w:t>En SGNS, woman−man+king coloca queen en rango 110 (coseno 0.599); sin exclusión, gana king. El ≈ no es una igualdad. El coseno entre b−a y d−c mide paralelismo sin garantizar el ranking. El notebook incluye t-SNE de 500 palabras por modelo: temas predefinidos, coseno, perplexity 30, 1500 iteraciones y semilla 23236; sus ejes y distancias globales no son medidas semánticas.</w:t>
      </w:r>
    </w:p>
    <w:p>
      <w:r>
        <w:br w:type="page"/>
      </w:r>
    </w:p>
    <w:p>
      <w:pPr>
        <w:pStyle w:val="Heading1"/>
      </w:pPr>
      <w:r>
        <w:t>Clasificación de noticias</w:t>
      </w:r>
    </w:p>
    <w:p>
      <w:r>
        <w:t>AG News se separó en 108000 ejemplos de entrenamiento y 12000 de validación estratificada, sin solapamiento de índices; test oficial contiene 7600. Las fracciones 1/10/50/100% usan 1080/10800/54000/108000 ejemplos anidados por clase. Cada vocabulario y TF-IDF se aprende únicamente desde la fracción correspondiente.</w:t>
      </w:r>
    </w:p>
    <w:p>
      <w:r>
        <w:t>TF-IDF usa unigramas/bigramas, min_df=2 y hasta 100000 características; regresión logística L2 con optimización SGD. Todos los modelos neuronales usan EmbeddingBag(mean) → MLP de 128 unidades, ReLU, dropout 0.2 y salida de cuatro clases. Adam 0.001, batch 512, máximo 10 epochs y parada tras dos epochs sin mejorar F1 macro.</w:t>
      </w:r>
    </w:p>
    <w:p>
      <w:r>
        <w:t>La inicialización aleatoria tiene 100d. SGNS, gensim y GloVe se comparan congelados y ajustables, adaptando solo la entrada a su dimensión. Los OOV preentrenados parten de cero; congelados no aportan señal léxica y ajustables pueden aprender. Validación fija variante y checkpoint antes de evaluar test; se guardan hashes, predicciones y matrices.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cantSplit/>
          <w:tblHeader/>
        </w:trPr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Fracción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TF-IDF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Aleatorio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SGNS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Gensim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GloVe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1%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81.94%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31.20%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71.89%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80.68%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66.73%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10%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89.28%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88.75%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89.19%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89.03%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89.23%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50%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91.36%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91.62%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91.53%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91.58%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91.52%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91.61%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92.10%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92.10%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92.03%</w:t>
            </w:r>
          </w:p>
        </w:tc>
        <w:tc>
          <w:tcPr>
            <w:tcW w:type="dxa" w:w="1728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92.08%</w:t>
            </w:r>
          </w:p>
        </w:tc>
      </w:tr>
    </w:tbl>
    <w:p>
      <w:r>
        <w:t>F1 macro en test por fracción. Cada columna usa la variante elegida exclusivamente con validación para esa fracción; no se cambió la selección después de ver test.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cantSplit/>
          <w:tblHeader/>
        </w:trPr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Modelo al 100%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Acc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P macro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R macro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F1 macro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Par entrenables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Min</w:t>
            </w:r>
          </w:p>
        </w:tc>
      </w:tr>
      <w:tr>
        <w:trPr>
          <w:cantSplit/>
        </w:trPr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tfidf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91.63%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91.62%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91.63%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91.61%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400 004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0.7</w:t>
            </w:r>
          </w:p>
        </w:tc>
      </w:tr>
      <w:tr>
        <w:trPr>
          <w:cantSplit/>
        </w:trPr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random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92.11%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92.11%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92.11%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92.10%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4 383 644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0.1</w:t>
            </w:r>
          </w:p>
        </w:tc>
      </w:tr>
      <w:tr>
        <w:trPr>
          <w:cantSplit/>
        </w:trPr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sgns_finetune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92.11%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92.12%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92.11%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92.10%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4 383 644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0.1</w:t>
            </w:r>
          </w:p>
        </w:tc>
      </w:tr>
      <w:tr>
        <w:trPr>
          <w:cantSplit/>
        </w:trPr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gensim_finetune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92.04%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92.06%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92.04%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92.03%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4 383 644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0.1</w:t>
            </w:r>
          </w:p>
        </w:tc>
      </w:tr>
      <w:tr>
        <w:trPr>
          <w:cantSplit/>
        </w:trPr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glove_finetune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92.09%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92.09%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92.09%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92.08%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4 383 644</w:t>
            </w:r>
          </w:p>
        </w:tc>
        <w:tc>
          <w:tcPr>
            <w:tcW w:type="dxa" w:w="1481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0.1</w:t>
            </w:r>
          </w:p>
        </w:tc>
      </w:tr>
    </w:tbl>
    <w:p>
      <w:r>
        <w:t>El mayor F1 al 100% fue sgns_finetune (92.10%), apenas 0.0020 puntos sobre random; no se estima significancia. La matriz con más errores fue tfidf; su mayor confusión dirigida fue Business→Sci/Tech (155 ejemplos). Las veinte matrices y curvas están guardadas en el notebook y archivos JSON/CSV.</w:t>
      </w:r>
    </w:p>
    <w:p>
      <w:r>
        <w:t>Los embeddings congelados exigen menos parámetros entrenables; fine-tuning adapta dominio y OOV, pero requiere etiquetas. La referencia TF-IDF puede competir bien en noticias por su señal léxica y bigramas. La ventaja observada con poco entrenamiento se interpreta en la siguiente página, sin atribuir causalidad a una única semilla.</w:t>
      </w:r>
    </w:p>
    <w:p>
      <w:r>
        <w:br w:type="page"/>
      </w:r>
    </w:p>
    <w:p>
      <w:pPr>
        <w:pStyle w:val="Heading1"/>
      </w:pPr>
      <w:r>
        <w:t>Conclusiones y referencias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rPr>
          <w:cantSplit/>
          <w:tblHeader/>
        </w:trPr>
        <w:tc>
          <w:tcPr>
            <w:tcW w:type="dxa" w:w="115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Modelo</w:t>
            </w:r>
          </w:p>
        </w:tc>
        <w:tc>
          <w:tcPr>
            <w:tcW w:type="dxa" w:w="115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d</w:t>
            </w:r>
          </w:p>
        </w:tc>
        <w:tc>
          <w:tcPr>
            <w:tcW w:type="dxa" w:w="115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Vocab</w:t>
            </w:r>
          </w:p>
        </w:tc>
        <w:tc>
          <w:tcPr>
            <w:tcW w:type="dxa" w:w="115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ρ WS</w:t>
            </w:r>
          </w:p>
        </w:tc>
        <w:tc>
          <w:tcPr>
            <w:tcW w:type="dxa" w:w="115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Cob WS</w:t>
            </w:r>
          </w:p>
        </w:tc>
        <w:tc>
          <w:tcPr>
            <w:tcW w:type="dxa" w:w="115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ρ SL</w:t>
            </w:r>
          </w:p>
        </w:tc>
        <w:tc>
          <w:tcPr>
            <w:tcW w:type="dxa" w:w="115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Cob SL</w:t>
            </w:r>
          </w:p>
        </w:tc>
        <w:tc>
          <w:tcPr>
            <w:tcW w:type="dxa" w:w="115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F1 test</w:t>
            </w:r>
          </w:p>
        </w:tc>
        <w:tc>
          <w:tcPr>
            <w:tcW w:type="dxa" w:w="115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  <w:shd w:fill="F1F1F1"/>
          </w:tcPr>
          <w:p>
            <w:pPr>
              <w:spacing w:after="40" w:before="40"/>
            </w:pPr>
            <w:r>
              <w:rPr>
                <w:b/>
                <w:sz w:val="17"/>
              </w:rPr>
              <w:t>Min entren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sgns</w:t>
            </w:r>
          </w:p>
        </w:tc>
        <w:tc>
          <w:tcPr>
            <w:tcW w:type="dxa" w:w="115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115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72 216</w:t>
            </w:r>
          </w:p>
        </w:tc>
        <w:tc>
          <w:tcPr>
            <w:tcW w:type="dxa" w:w="115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0.64358</w:t>
            </w:r>
          </w:p>
        </w:tc>
        <w:tc>
          <w:tcPr>
            <w:tcW w:type="dxa" w:w="115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98.87%</w:t>
            </w:r>
          </w:p>
        </w:tc>
        <w:tc>
          <w:tcPr>
            <w:tcW w:type="dxa" w:w="115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0.28274</w:t>
            </w:r>
          </w:p>
        </w:tc>
        <w:tc>
          <w:tcPr>
            <w:tcW w:type="dxa" w:w="115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99.60%</w:t>
            </w:r>
          </w:p>
        </w:tc>
        <w:tc>
          <w:tcPr>
            <w:tcW w:type="dxa" w:w="115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92.10%</w:t>
            </w:r>
          </w:p>
        </w:tc>
        <w:tc>
          <w:tcPr>
            <w:tcW w:type="dxa" w:w="115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7.7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gensim</w:t>
            </w:r>
          </w:p>
        </w:tc>
        <w:tc>
          <w:tcPr>
            <w:tcW w:type="dxa" w:w="115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115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72 216</w:t>
            </w:r>
          </w:p>
        </w:tc>
        <w:tc>
          <w:tcPr>
            <w:tcW w:type="dxa" w:w="115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0.63491</w:t>
            </w:r>
          </w:p>
        </w:tc>
        <w:tc>
          <w:tcPr>
            <w:tcW w:type="dxa" w:w="115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98.87%</w:t>
            </w:r>
          </w:p>
        </w:tc>
        <w:tc>
          <w:tcPr>
            <w:tcW w:type="dxa" w:w="115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0.28432</w:t>
            </w:r>
          </w:p>
        </w:tc>
        <w:tc>
          <w:tcPr>
            <w:tcW w:type="dxa" w:w="115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99.60%</w:t>
            </w:r>
          </w:p>
        </w:tc>
        <w:tc>
          <w:tcPr>
            <w:tcW w:type="dxa" w:w="115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92.03%</w:t>
            </w:r>
          </w:p>
        </w:tc>
        <w:tc>
          <w:tcPr>
            <w:tcW w:type="dxa" w:w="115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5.7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glove</w:t>
            </w:r>
          </w:p>
        </w:tc>
        <w:tc>
          <w:tcPr>
            <w:tcW w:type="dxa" w:w="115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115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400 000</w:t>
            </w:r>
          </w:p>
        </w:tc>
        <w:tc>
          <w:tcPr>
            <w:tcW w:type="dxa" w:w="115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0.53274</w:t>
            </w:r>
          </w:p>
        </w:tc>
        <w:tc>
          <w:tcPr>
            <w:tcW w:type="dxa" w:w="115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100.00%</w:t>
            </w:r>
          </w:p>
        </w:tc>
        <w:tc>
          <w:tcPr>
            <w:tcW w:type="dxa" w:w="115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0.29755</w:t>
            </w:r>
          </w:p>
        </w:tc>
        <w:tc>
          <w:tcPr>
            <w:tcW w:type="dxa" w:w="115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100.00%</w:t>
            </w:r>
          </w:p>
        </w:tc>
        <w:tc>
          <w:tcPr>
            <w:tcW w:type="dxa" w:w="115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92.08%</w:t>
            </w:r>
          </w:p>
        </w:tc>
        <w:tc>
          <w:tcPr>
            <w:tcW w:type="dxa" w:w="1152"/>
            <w:tcBorders>
              <w:top w:val="single" w:sz="4" w:color="D7D7D7"/>
              <w:left w:val="single" w:sz="4" w:color="D7D7D7"/>
              <w:bottom w:val="single" w:sz="4" w:color="D7D7D7"/>
              <w:right w:val="single" w:sz="4" w:color="D7D7D7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Externo</w:t>
            </w:r>
          </w:p>
        </w:tc>
      </w:tr>
    </w:tbl>
    <w:p>
      <w:r>
        <w:t>WS=WordSim-353; SL=SimLex-999. Las correlaciones finales usan pares cubiertos por cada vocabulario, por lo que se muestra cobertura. SimLex se evaluó después de cerrar la selección de embeddings. Los tiempos de SGNS/gensim suman tres epochs de la configuración comparada, sin descarga ni evaluación.</w:t>
      </w:r>
    </w:p>
    <w:p>
      <w:r>
        <w:t>OOV de tokens en test AG News: sgns 3.32%, gensim 3.32%, glove 0.88%. SGNS y gensim usan 20 000 727 tokens normalizados; GloVe usa 6000000000. El hardware medido y el publicado se distinguen en la página 2.</w:t>
      </w:r>
    </w:p>
    <w:p>
      <w:r>
        <w:t>La configuración SGNS elegida fue base100 en epoch 3. glove obtuvo la mayor correlación SimLex observada. La tabla muestra que calidad intrínseca y F1 de clasificación deben examinarse por separado: son tareas con objetivos y distribuciones distintos.</w:t>
      </w:r>
    </w:p>
    <w:p>
      <w:r>
        <w:t>Con 1% de etiquetas, GloVe obtuvo F1 66.73% frente a 31.20% del embedding aleatorio: +35.53 puntos. TF-IDF fue superior a ambos (81.94%). Validación eligió fine-tuning para los tres preentrenados en todas las fracciones; el beneficio depende de datos y tarea.</w:t>
      </w:r>
    </w:p>
    <w:p>
      <w:r>
        <w:t>A epoch 3, 50/300d no superaron la base en WordSim; ventana 2 obtuvo 0.57344. Diez negativos casi empataron (0.64603) con más costo. Aumentar corpus 25→100% elevó accuracy de 8.00% a 27.67%. GloVe dispone de muchos más tokens; no se aísla causalmente el efecto del método.</w:t>
      </w:r>
    </w:p>
    <w:p>
      <w:r>
        <w:t>Limitaciones: tres epochs, una semilla, sin intervalos de confianza; embeddings estáticos y promedio sin orden ni negación; tokenización y cobertura diferentes. Futuro: varias semillas, más entrenamiento y modelos sensibles al contexto.</w:t>
      </w:r>
    </w:p>
    <w:p>
      <w:r>
        <w:t>Verificación: pérdida y gradientes contra entropía cruzada binaria, fronteras de contexto, exclusión de consultas y coincidencia con gensim; corpus mínimo y hashes, subconjuntos anidados, selección bloqueada y una evaluación test por modelo. El notebook se ejecutó desde kernel limpio. Los checkpoints y registros reales se recuperaron de Colab.</w:t>
      </w:r>
    </w:p>
    <w:p>
      <w:pPr>
        <w:pStyle w:val="Heading1"/>
      </w:pPr>
      <w:r>
        <w:t>Referencias</w:t>
      </w:r>
    </w:p>
    <w:p>
      <w:r>
        <w:t>Mikolov et al. (2013). Distributed Representations of Words and Phrases and their Compositionality. NeurIPS. Pennington, Socher y Manning (2014). GloVe: Global Vectors for Word Representation. EMNLP. https://nlp.stanford.edu/pubs/glove.pdf</w:t>
      </w:r>
    </w:p>
    <w:p>
      <w:r>
        <w:t>PyTorch 2.8: Embedding y EmbeddingBag. Gensim 4.4: Word2Vec y KeyedVectors. Fuentes de datos: Salesforce/WikiText-103 raw y fancyzhx/AG News en Hugging Face; WordSim-353, SimLex-999 y analogías en los recursos de gensim.</w:t>
      </w:r>
    </w:p>
    <w:p>
      <w:r>
        <w:t>Entregables: notebook comentado, PDF, Word editable, código y dependencias, métricas, figuras, predicciones y mejores vectores SGNS .kv en la release v1.0-lab7.</w:t>
      </w:r>
    </w:p>
    <w:p>
      <w:r>
        <w:t>Repositorio de la entrega: https://github.com/iancumes/Lab7DeepLearning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  <w:sz w:val="16"/>
      </w:rPr>
      <w:t>Laboratorio 7  |  Ian Cumes 23236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7 NLP y embeddings</dc:title>
  <dc:subject>SGNS propio, evaluación de embeddings y clasificación AG News</dc:subject>
  <dc:creator>Ian Cumes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