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Laboratorio 8 DuckDB</w:t>
      </w:r>
    </w:p>
    <w:p>
      <w:pPr>
        <w:pStyle w:val="Subtitle"/>
      </w:pPr>
      <w:r>
        <w:t>Análisis de viajes de taxis de Nueva York</w:t>
      </w:r>
    </w:p>
    <w:p>
      <w:r>
        <w:t>CC3084 Ciencia de Datos</w:t>
        <w:br/>
        <w:t>Universidad del Valle de Guatemala</w:t>
        <w:br/>
        <w:t>Ciclo 2 de 2026</w:t>
      </w:r>
    </w:p>
    <w:p>
      <w:r>
        <w:t>Javier Valladares, 23045</w:t>
      </w:r>
    </w:p>
    <w:p>
      <w:r>
        <w:t>Ian Cumes, 23236</w:t>
      </w:r>
    </w:p>
    <w:p>
      <w:r>
        <w:t>Javier Cifuentes, 23079</w:t>
      </w:r>
    </w:p>
    <w:p>
      <w:r>
        <w:t>8 de octubre de 2026</w:t>
      </w:r>
    </w:p>
    <w:p>
      <w:r>
        <w:t>Repositorio: https://github.com/iancumes/Lab8DataScience</w:t>
      </w:r>
    </w:p>
    <w:p>
      <w:r>
        <w:t>Analizamos archivos Parquet de taxis amarillos y verdes de 2024, 2025 y 2026. El conjunto contiene 64 archivos y 121,184,384 registros. El año 2026 llega hasta agosto, por lo que comparamos los años usando los mismos ocho meses. Los taxis amarillos tienen mucho más volumen. El benchmark también muestra que materializar los datos no acelera todas las consultas.</w:t>
      </w:r>
    </w:p>
    <w:p>
      <w:pPr>
        <w:pStyle w:val="Heading1"/>
      </w:pPr>
      <w:r>
        <w:t>Ejercicio 1 Ambiente de trabajo</w:t>
      </w:r>
    </w:p>
    <w:p>
      <w:r>
        <w:t>Usamos Docker Compose con dos servicios. JupyterLab permite ejecutar el notebook y Metabase muestra el tablero. DuckDB consulta los Parquet y genera tablas pequeñas de resultados. La lectura de datos, las pruebas de descarga y la verificación final también se comprobaron dentro de Docker.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4032"/>
        <w:gridCol w:w="5904"/>
      </w:tblGrid>
      <w:tr>
        <w:trPr>
          <w:tblHeader/>
          <w:cantSplit/>
        </w:trPr>
        <w:tc>
          <w:tcPr>
            <w:tcW w:type="dxa" w:w="4032"/>
            <w:vAlign w:val="center"/>
            <w:shd w:fill="EDEDED"/>
          </w:tcPr>
          <w:p>
            <w:pPr>
              <w:spacing w:after="0" w:line="240" w:lineRule="auto"/>
              <w:jc w:val="left"/>
            </w:pPr>
            <w:r>
              <w:rPr>
                <w:b/>
                <w:sz w:val="19"/>
              </w:rPr>
              <w:t>Componente</w:t>
            </w:r>
          </w:p>
        </w:tc>
        <w:tc>
          <w:tcPr>
            <w:tcW w:type="dxa" w:w="5904"/>
            <w:vAlign w:val="center"/>
            <w:shd w:fill="EDEDED"/>
          </w:tcPr>
          <w:p>
            <w:pPr>
              <w:spacing w:after="0" w:line="240" w:lineRule="auto"/>
              <w:jc w:val="center"/>
            </w:pPr>
            <w:r>
              <w:rPr>
                <w:b/>
                <w:sz w:val="19"/>
              </w:rPr>
              <w:t>Versión o acceso</w:t>
            </w:r>
          </w:p>
        </w:tc>
      </w:tr>
      <w:tr>
        <w:trPr>
          <w:cantSplit/>
        </w:trPr>
        <w:tc>
          <w:tcPr>
            <w:tcW w:type="dxa" w:w="4032"/>
            <w:vAlign w:val="center"/>
          </w:tcPr>
          <w:p>
            <w:pPr>
              <w:spacing w:after="0" w:line="240" w:lineRule="auto"/>
              <w:jc w:val="left"/>
            </w:pPr>
            <w:r>
              <w:rPr>
                <w:b w:val="0"/>
                <w:sz w:val="19"/>
              </w:rPr>
              <w:t>Python del contenedor</w:t>
            </w:r>
          </w:p>
        </w:tc>
        <w:tc>
          <w:tcPr>
            <w:tcW w:type="dxa" w:w="5904"/>
            <w:vAlign w:val="center"/>
          </w:tcPr>
          <w:p>
            <w:pPr>
              <w:spacing w:after="0" w:line="240" w:lineRule="auto"/>
              <w:jc w:val="center"/>
            </w:pPr>
            <w:r>
              <w:rPr>
                <w:b w:val="0"/>
                <w:sz w:val="19"/>
              </w:rPr>
              <w:t>3.11.14</w:t>
            </w:r>
          </w:p>
        </w:tc>
      </w:tr>
      <w:tr>
        <w:trPr>
          <w:cantSplit/>
        </w:trPr>
        <w:tc>
          <w:tcPr>
            <w:tcW w:type="dxa" w:w="4032"/>
            <w:vAlign w:val="center"/>
          </w:tcPr>
          <w:p>
            <w:pPr>
              <w:spacing w:after="0" w:line="240" w:lineRule="auto"/>
              <w:jc w:val="left"/>
            </w:pPr>
            <w:r>
              <w:rPr>
                <w:b w:val="0"/>
                <w:sz w:val="19"/>
              </w:rPr>
              <w:t>DuckDB</w:t>
            </w:r>
          </w:p>
        </w:tc>
        <w:tc>
          <w:tcPr>
            <w:tcW w:type="dxa" w:w="5904"/>
            <w:vAlign w:val="center"/>
          </w:tcPr>
          <w:p>
            <w:pPr>
              <w:spacing w:after="0" w:line="240" w:lineRule="auto"/>
              <w:jc w:val="center"/>
            </w:pPr>
            <w:r>
              <w:rPr>
                <w:b w:val="0"/>
                <w:sz w:val="19"/>
              </w:rPr>
              <w:t>1.5.5</w:t>
            </w:r>
          </w:p>
        </w:tc>
      </w:tr>
      <w:tr>
        <w:trPr>
          <w:cantSplit/>
        </w:trPr>
        <w:tc>
          <w:tcPr>
            <w:tcW w:type="dxa" w:w="4032"/>
            <w:vAlign w:val="center"/>
          </w:tcPr>
          <w:p>
            <w:pPr>
              <w:spacing w:after="0" w:line="240" w:lineRule="auto"/>
              <w:jc w:val="left"/>
            </w:pPr>
            <w:r>
              <w:rPr>
                <w:b w:val="0"/>
                <w:sz w:val="19"/>
              </w:rPr>
              <w:t>Pandas y PyArrow</w:t>
            </w:r>
          </w:p>
        </w:tc>
        <w:tc>
          <w:tcPr>
            <w:tcW w:type="dxa" w:w="5904"/>
            <w:vAlign w:val="center"/>
          </w:tcPr>
          <w:p>
            <w:pPr>
              <w:spacing w:after="0" w:line="240" w:lineRule="auto"/>
              <w:jc w:val="center"/>
            </w:pPr>
            <w:r>
              <w:rPr>
                <w:b w:val="0"/>
                <w:sz w:val="19"/>
              </w:rPr>
              <w:t>3.0.6 y 25.0.1</w:t>
            </w:r>
          </w:p>
        </w:tc>
      </w:tr>
      <w:tr>
        <w:trPr>
          <w:cantSplit/>
        </w:trPr>
        <w:tc>
          <w:tcPr>
            <w:tcW w:type="dxa" w:w="4032"/>
            <w:vAlign w:val="center"/>
          </w:tcPr>
          <w:p>
            <w:pPr>
              <w:spacing w:after="0" w:line="240" w:lineRule="auto"/>
              <w:jc w:val="left"/>
            </w:pPr>
            <w:r>
              <w:rPr>
                <w:b w:val="0"/>
                <w:sz w:val="19"/>
              </w:rPr>
              <w:t>JupyterLab</w:t>
            </w:r>
          </w:p>
        </w:tc>
        <w:tc>
          <w:tcPr>
            <w:tcW w:type="dxa" w:w="5904"/>
            <w:vAlign w:val="center"/>
          </w:tcPr>
          <w:p>
            <w:pPr>
              <w:spacing w:after="0" w:line="240" w:lineRule="auto"/>
              <w:jc w:val="center"/>
            </w:pPr>
            <w:r>
              <w:rPr>
                <w:b w:val="0"/>
                <w:sz w:val="19"/>
              </w:rPr>
              <w:t>4.6.4, puerto 8888</w:t>
            </w:r>
          </w:p>
        </w:tc>
      </w:tr>
      <w:tr>
        <w:trPr>
          <w:cantSplit/>
        </w:trPr>
        <w:tc>
          <w:tcPr>
            <w:tcW w:type="dxa" w:w="4032"/>
            <w:vAlign w:val="center"/>
          </w:tcPr>
          <w:p>
            <w:pPr>
              <w:spacing w:after="0" w:line="240" w:lineRule="auto"/>
              <w:jc w:val="left"/>
            </w:pPr>
            <w:r>
              <w:rPr>
                <w:b w:val="0"/>
                <w:sz w:val="19"/>
              </w:rPr>
              <w:t>Metabase y driver DuckDB</w:t>
            </w:r>
          </w:p>
        </w:tc>
        <w:tc>
          <w:tcPr>
            <w:tcW w:type="dxa" w:w="5904"/>
            <w:vAlign w:val="center"/>
          </w:tcPr>
          <w:p>
            <w:pPr>
              <w:spacing w:after="0" w:line="240" w:lineRule="auto"/>
              <w:jc w:val="center"/>
            </w:pPr>
            <w:r>
              <w:rPr>
                <w:b w:val="0"/>
                <w:sz w:val="19"/>
              </w:rPr>
              <w:t>v0.63.19 y 1.5.5.0, puerto 3000</w:t>
            </w:r>
          </w:p>
        </w:tc>
      </w:tr>
    </w:tbl>
    <w:p>
      <w:pPr>
        <w:spacing w:after="0"/>
      </w:pPr>
    </w:p>
    <w:p>
      <w:r>
        <w:t>Los datos quedan en data/raw y las bases generadas en data/processed. Ambas carpetas se excluyen de Git. El código, las consultas SQL y los resultados resumidos sí se versionan. Docker y las versiones fijadas ayudan a reproducir el ambiente. Los manifiestos identifican los archivos usados.</w:t>
      </w:r>
    </w:p>
    <w:p>
      <w:pPr>
        <w:pStyle w:val="Heading1"/>
        <w:pageBreakBefore/>
      </w:pPr>
      <w:r>
        <w:t>Ejercicio 2 Descarga de datos</w:t>
      </w:r>
    </w:p>
    <w:p>
      <w:r>
        <w:t>Partimos del repositorio de menene/duckdb y ampliamos el descargador para recibir años y meses como parámetros. Se consultan los enlaces del catálogo oficial de NYC TLC. Cada archivo se descarga primero como temporal, se revisa su tamaño y se comprueba que PyArrow pueda leer sus metadatos. Luego se guarda con su nombre final. También registramos filas, bytes y hash SHA-256.</w:t>
      </w:r>
    </w:p>
    <w:p>
      <w:r>
        <w:t>Si un archivo ya existe, se valida y se conserva. Un archivo corrupto se reporta como error y no se sobrescribe. Así evitamos volver a descargar datos que ya estaban completos.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2376"/>
        <w:gridCol w:w="1152"/>
        <w:gridCol w:w="2952"/>
        <w:gridCol w:w="1584"/>
        <w:gridCol w:w="1872"/>
      </w:tblGrid>
      <w:tr>
        <w:trPr>
          <w:tblHeader/>
          <w:cantSplit/>
        </w:trPr>
        <w:tc>
          <w:tcPr>
            <w:tcW w:type="dxa" w:w="2376"/>
            <w:vAlign w:val="center"/>
            <w:shd w:fill="EDEDED"/>
          </w:tcPr>
          <w:p>
            <w:pPr>
              <w:spacing w:after="0" w:line="240" w:lineRule="auto"/>
              <w:jc w:val="left"/>
            </w:pPr>
            <w:r>
              <w:rPr>
                <w:b/>
                <w:sz w:val="19"/>
              </w:rPr>
              <w:t>Etapa</w:t>
            </w:r>
          </w:p>
        </w:tc>
        <w:tc>
          <w:tcPr>
            <w:tcW w:type="dxa" w:w="1152"/>
            <w:vAlign w:val="center"/>
            <w:shd w:fill="EDEDED"/>
          </w:tcPr>
          <w:p>
            <w:pPr>
              <w:spacing w:after="0" w:line="240" w:lineRule="auto"/>
              <w:jc w:val="center"/>
            </w:pPr>
            <w:r>
              <w:rPr>
                <w:b/>
                <w:sz w:val="19"/>
              </w:rPr>
              <w:t>Archivos</w:t>
            </w:r>
          </w:p>
        </w:tc>
        <w:tc>
          <w:tcPr>
            <w:tcW w:type="dxa" w:w="2952"/>
            <w:vAlign w:val="center"/>
            <w:shd w:fill="EDEDED"/>
          </w:tcPr>
          <w:p>
            <w:pPr>
              <w:spacing w:after="0" w:line="240" w:lineRule="auto"/>
              <w:jc w:val="center"/>
            </w:pPr>
            <w:r>
              <w:rPr>
                <w:b/>
                <w:sz w:val="19"/>
              </w:rPr>
              <w:t>Filas</w:t>
            </w:r>
          </w:p>
        </w:tc>
        <w:tc>
          <w:tcPr>
            <w:tcW w:type="dxa" w:w="1584"/>
            <w:vAlign w:val="center"/>
            <w:shd w:fill="EDEDED"/>
          </w:tcPr>
          <w:p>
            <w:pPr>
              <w:spacing w:after="0" w:line="240" w:lineRule="auto"/>
              <w:jc w:val="center"/>
            </w:pPr>
            <w:r>
              <w:rPr>
                <w:b/>
                <w:sz w:val="19"/>
              </w:rPr>
              <w:t>Nuevos</w:t>
            </w:r>
          </w:p>
        </w:tc>
        <w:tc>
          <w:tcPr>
            <w:tcW w:type="dxa" w:w="1872"/>
            <w:vAlign w:val="center"/>
            <w:shd w:fill="EDEDED"/>
          </w:tcPr>
          <w:p>
            <w:pPr>
              <w:spacing w:after="0" w:line="240" w:lineRule="auto"/>
              <w:jc w:val="center"/>
            </w:pPr>
            <w:r>
              <w:rPr>
                <w:b/>
                <w:sz w:val="19"/>
              </w:rPr>
              <w:t>Existentes</w:t>
            </w:r>
          </w:p>
        </w:tc>
      </w:tr>
      <w:tr>
        <w:trPr>
          <w:cantSplit/>
        </w:trPr>
        <w:tc>
          <w:tcPr>
            <w:tcW w:type="dxa" w:w="2376"/>
            <w:vAlign w:val="center"/>
          </w:tcPr>
          <w:p>
            <w:pPr>
              <w:spacing w:after="0" w:line="240" w:lineRule="auto"/>
              <w:jc w:val="left"/>
            </w:pPr>
            <w:r>
              <w:rPr>
                <w:b w:val="0"/>
                <w:sz w:val="19"/>
              </w:rPr>
              <w:t>2026</w:t>
            </w:r>
          </w:p>
        </w:tc>
        <w:tc>
          <w:tcPr>
            <w:tcW w:type="dxa" w:w="1152"/>
            <w:vAlign w:val="center"/>
          </w:tcPr>
          <w:p>
            <w:pPr>
              <w:spacing w:after="0" w:line="240" w:lineRule="auto"/>
              <w:jc w:val="center"/>
            </w:pPr>
            <w:r>
              <w:rPr>
                <w:b w:val="0"/>
                <w:sz w:val="19"/>
              </w:rPr>
              <w:t>16</w:t>
            </w:r>
          </w:p>
        </w:tc>
        <w:tc>
          <w:tcPr>
            <w:tcW w:type="dxa" w:w="2952"/>
            <w:vAlign w:val="center"/>
          </w:tcPr>
          <w:p>
            <w:pPr>
              <w:spacing w:after="0" w:line="240" w:lineRule="auto"/>
              <w:jc w:val="center"/>
            </w:pPr>
            <w:r>
              <w:rPr>
                <w:b w:val="0"/>
                <w:sz w:val="19"/>
              </w:rPr>
              <w:t>30,040,469</w:t>
            </w:r>
          </w:p>
        </w:tc>
        <w:tc>
          <w:tcPr>
            <w:tcW w:type="dxa" w:w="1584"/>
            <w:vAlign w:val="center"/>
          </w:tcPr>
          <w:p>
            <w:pPr>
              <w:spacing w:after="0" w:line="240" w:lineRule="auto"/>
              <w:jc w:val="center"/>
            </w:pPr>
            <w:r>
              <w:rPr>
                <w:b w:val="0"/>
                <w:sz w:val="19"/>
              </w:rPr>
              <w:t>16</w:t>
            </w:r>
          </w:p>
        </w:tc>
        <w:tc>
          <w:tcPr>
            <w:tcW w:type="dxa" w:w="1872"/>
            <w:vAlign w:val="center"/>
          </w:tcPr>
          <w:p>
            <w:pPr>
              <w:spacing w:after="0" w:line="240" w:lineRule="auto"/>
              <w:jc w:val="center"/>
            </w:pPr>
            <w:r>
              <w:rPr>
                <w:b w:val="0"/>
                <w:sz w:val="19"/>
              </w:rPr>
              <w:t>0</w:t>
            </w:r>
          </w:p>
        </w:tc>
      </w:tr>
      <w:tr>
        <w:trPr>
          <w:cantSplit/>
        </w:trPr>
        <w:tc>
          <w:tcPr>
            <w:tcW w:type="dxa" w:w="2376"/>
            <w:vAlign w:val="center"/>
          </w:tcPr>
          <w:p>
            <w:pPr>
              <w:spacing w:after="0" w:line="240" w:lineRule="auto"/>
              <w:jc w:val="left"/>
            </w:pPr>
            <w:r>
              <w:rPr>
                <w:b w:val="0"/>
                <w:sz w:val="19"/>
              </w:rPr>
              <w:t>2024 y 2026</w:t>
            </w:r>
          </w:p>
        </w:tc>
        <w:tc>
          <w:tcPr>
            <w:tcW w:type="dxa" w:w="1152"/>
            <w:vAlign w:val="center"/>
          </w:tcPr>
          <w:p>
            <w:pPr>
              <w:spacing w:after="0" w:line="240" w:lineRule="auto"/>
              <w:jc w:val="center"/>
            </w:pPr>
            <w:r>
              <w:rPr>
                <w:b w:val="0"/>
                <w:sz w:val="19"/>
              </w:rPr>
              <w:t>40</w:t>
            </w:r>
          </w:p>
        </w:tc>
        <w:tc>
          <w:tcPr>
            <w:tcW w:type="dxa" w:w="2952"/>
            <w:vAlign w:val="center"/>
          </w:tcPr>
          <w:p>
            <w:pPr>
              <w:spacing w:after="0" w:line="240" w:lineRule="auto"/>
              <w:jc w:val="center"/>
            </w:pPr>
            <w:r>
              <w:rPr>
                <w:b w:val="0"/>
                <w:sz w:val="19"/>
              </w:rPr>
              <w:t>71,870,407</w:t>
            </w:r>
          </w:p>
        </w:tc>
        <w:tc>
          <w:tcPr>
            <w:tcW w:type="dxa" w:w="1584"/>
            <w:vAlign w:val="center"/>
          </w:tcPr>
          <w:p>
            <w:pPr>
              <w:spacing w:after="0" w:line="240" w:lineRule="auto"/>
              <w:jc w:val="center"/>
            </w:pPr>
            <w:r>
              <w:rPr>
                <w:b w:val="0"/>
                <w:sz w:val="19"/>
              </w:rPr>
              <w:t>24</w:t>
            </w:r>
          </w:p>
        </w:tc>
        <w:tc>
          <w:tcPr>
            <w:tcW w:type="dxa" w:w="1872"/>
            <w:vAlign w:val="center"/>
          </w:tcPr>
          <w:p>
            <w:pPr>
              <w:spacing w:after="0" w:line="240" w:lineRule="auto"/>
              <w:jc w:val="center"/>
            </w:pPr>
            <w:r>
              <w:rPr>
                <w:b w:val="0"/>
                <w:sz w:val="19"/>
              </w:rPr>
              <w:t>16</w:t>
            </w:r>
          </w:p>
        </w:tc>
      </w:tr>
      <w:tr>
        <w:trPr>
          <w:cantSplit/>
        </w:trPr>
        <w:tc>
          <w:tcPr>
            <w:tcW w:type="dxa" w:w="2376"/>
            <w:vAlign w:val="center"/>
          </w:tcPr>
          <w:p>
            <w:pPr>
              <w:spacing w:after="0" w:line="240" w:lineRule="auto"/>
              <w:jc w:val="left"/>
            </w:pPr>
            <w:r>
              <w:rPr>
                <w:b w:val="0"/>
                <w:sz w:val="19"/>
              </w:rPr>
              <w:t>Tres años</w:t>
            </w:r>
          </w:p>
        </w:tc>
        <w:tc>
          <w:tcPr>
            <w:tcW w:type="dxa" w:w="1152"/>
            <w:vAlign w:val="center"/>
          </w:tcPr>
          <w:p>
            <w:pPr>
              <w:spacing w:after="0" w:line="240" w:lineRule="auto"/>
              <w:jc w:val="center"/>
            </w:pPr>
            <w:r>
              <w:rPr>
                <w:b w:val="0"/>
                <w:sz w:val="19"/>
              </w:rPr>
              <w:t>64</w:t>
            </w:r>
          </w:p>
        </w:tc>
        <w:tc>
          <w:tcPr>
            <w:tcW w:type="dxa" w:w="2952"/>
            <w:vAlign w:val="center"/>
          </w:tcPr>
          <w:p>
            <w:pPr>
              <w:spacing w:after="0" w:line="240" w:lineRule="auto"/>
              <w:jc w:val="center"/>
            </w:pPr>
            <w:r>
              <w:rPr>
                <w:b w:val="0"/>
                <w:sz w:val="19"/>
              </w:rPr>
              <w:t>121,184,384</w:t>
            </w:r>
          </w:p>
        </w:tc>
        <w:tc>
          <w:tcPr>
            <w:tcW w:type="dxa" w:w="1584"/>
            <w:vAlign w:val="center"/>
          </w:tcPr>
          <w:p>
            <w:pPr>
              <w:spacing w:after="0" w:line="240" w:lineRule="auto"/>
              <w:jc w:val="center"/>
            </w:pPr>
            <w:r>
              <w:rPr>
                <w:b w:val="0"/>
                <w:sz w:val="19"/>
              </w:rPr>
              <w:t>24</w:t>
            </w:r>
          </w:p>
        </w:tc>
        <w:tc>
          <w:tcPr>
            <w:tcW w:type="dxa" w:w="1872"/>
            <w:vAlign w:val="center"/>
          </w:tcPr>
          <w:p>
            <w:pPr>
              <w:spacing w:after="0" w:line="240" w:lineRule="auto"/>
              <w:jc w:val="center"/>
            </w:pPr>
            <w:r>
              <w:rPr>
                <w:b w:val="0"/>
                <w:sz w:val="19"/>
              </w:rPr>
              <w:t>40</w:t>
            </w:r>
          </w:p>
        </w:tc>
      </w:tr>
      <w:tr>
        <w:trPr>
          <w:cantSplit/>
        </w:trPr>
        <w:tc>
          <w:tcPr>
            <w:tcW w:type="dxa" w:w="2376"/>
            <w:vAlign w:val="center"/>
          </w:tcPr>
          <w:p>
            <w:pPr>
              <w:spacing w:after="0" w:line="240" w:lineRule="auto"/>
              <w:jc w:val="left"/>
            </w:pPr>
            <w:r>
              <w:rPr>
                <w:b w:val="0"/>
                <w:sz w:val="19"/>
              </w:rPr>
              <w:t>Segunda ejecución</w:t>
            </w:r>
          </w:p>
        </w:tc>
        <w:tc>
          <w:tcPr>
            <w:tcW w:type="dxa" w:w="1152"/>
            <w:vAlign w:val="center"/>
          </w:tcPr>
          <w:p>
            <w:pPr>
              <w:spacing w:after="0" w:line="240" w:lineRule="auto"/>
              <w:jc w:val="center"/>
            </w:pPr>
            <w:r>
              <w:rPr>
                <w:b w:val="0"/>
                <w:sz w:val="19"/>
              </w:rPr>
              <w:t>64</w:t>
            </w:r>
          </w:p>
        </w:tc>
        <w:tc>
          <w:tcPr>
            <w:tcW w:type="dxa" w:w="2952"/>
            <w:vAlign w:val="center"/>
          </w:tcPr>
          <w:p>
            <w:pPr>
              <w:spacing w:after="0" w:line="240" w:lineRule="auto"/>
              <w:jc w:val="center"/>
            </w:pPr>
            <w:r>
              <w:rPr>
                <w:b w:val="0"/>
                <w:sz w:val="19"/>
              </w:rPr>
              <w:t>121,184,384</w:t>
            </w:r>
          </w:p>
        </w:tc>
        <w:tc>
          <w:tcPr>
            <w:tcW w:type="dxa" w:w="1584"/>
            <w:vAlign w:val="center"/>
          </w:tcPr>
          <w:p>
            <w:pPr>
              <w:spacing w:after="0" w:line="240" w:lineRule="auto"/>
              <w:jc w:val="center"/>
            </w:pPr>
            <w:r>
              <w:rPr>
                <w:b w:val="0"/>
                <w:sz w:val="19"/>
              </w:rPr>
              <w:t>0</w:t>
            </w:r>
          </w:p>
        </w:tc>
        <w:tc>
          <w:tcPr>
            <w:tcW w:type="dxa" w:w="1872"/>
            <w:vAlign w:val="center"/>
          </w:tcPr>
          <w:p>
            <w:pPr>
              <w:spacing w:after="0" w:line="240" w:lineRule="auto"/>
              <w:jc w:val="center"/>
            </w:pPr>
            <w:r>
              <w:rPr>
                <w:b w:val="0"/>
                <w:sz w:val="19"/>
              </w:rPr>
              <w:t>64</w:t>
            </w:r>
          </w:p>
        </w:tc>
      </w:tr>
    </w:tbl>
    <w:p>
      <w:pPr>
        <w:spacing w:after="0"/>
      </w:pPr>
    </w:p>
    <w:p>
      <w:r>
        <w:t>La segunda ejecución encontró los 64 archivos existentes y no descargó ninguno. En esta entrega, 2024 y 2025 tienen doce meses por tipo de taxi y 2026 tiene ocho. El catálogo puede publicar meses adicionales después del corte.</w:t>
      </w:r>
    </w:p>
    <w:p>
      <w:pPr>
        <w:pStyle w:val="Heading1"/>
      </w:pPr>
      <w:r>
        <w:t>Ejercicio 3 Exploración directa de Parquet</w:t>
      </w:r>
    </w:p>
    <w:p>
      <w:r>
        <w:t>Consultamos los archivos con read_parquet, sin cargarlos completos en Pandas. Revisamos filas, columnas, tipos y diez registros de muestra por tipo de taxi. La muestra sirve para revisar la estructura, pero no se usa para estimar los indicadores del conjunto completo.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2448"/>
        <w:gridCol w:w="1440"/>
        <w:gridCol w:w="1728"/>
        <w:gridCol w:w="4320"/>
      </w:tblGrid>
      <w:tr>
        <w:trPr>
          <w:tblHeader/>
          <w:cantSplit/>
        </w:trPr>
        <w:tc>
          <w:tcPr>
            <w:tcW w:type="dxa" w:w="2448"/>
            <w:vAlign w:val="center"/>
            <w:shd w:fill="EDEDED"/>
          </w:tcPr>
          <w:p>
            <w:pPr>
              <w:spacing w:after="0" w:line="240" w:lineRule="auto"/>
              <w:jc w:val="left"/>
            </w:pPr>
            <w:r>
              <w:rPr>
                <w:b/>
                <w:sz w:val="19"/>
              </w:rPr>
              <w:t>Taxi</w:t>
            </w:r>
          </w:p>
        </w:tc>
        <w:tc>
          <w:tcPr>
            <w:tcW w:type="dxa" w:w="1440"/>
            <w:vAlign w:val="center"/>
            <w:shd w:fill="EDEDED"/>
          </w:tcPr>
          <w:p>
            <w:pPr>
              <w:spacing w:after="0" w:line="240" w:lineRule="auto"/>
              <w:jc w:val="center"/>
            </w:pPr>
            <w:r>
              <w:rPr>
                <w:b/>
                <w:sz w:val="19"/>
              </w:rPr>
              <w:t>Año</w:t>
            </w:r>
          </w:p>
        </w:tc>
        <w:tc>
          <w:tcPr>
            <w:tcW w:type="dxa" w:w="1728"/>
            <w:vAlign w:val="center"/>
            <w:shd w:fill="EDEDED"/>
          </w:tcPr>
          <w:p>
            <w:pPr>
              <w:spacing w:after="0" w:line="240" w:lineRule="auto"/>
              <w:jc w:val="center"/>
            </w:pPr>
            <w:r>
              <w:rPr>
                <w:b/>
                <w:sz w:val="19"/>
              </w:rPr>
              <w:t>Archivos</w:t>
            </w:r>
          </w:p>
        </w:tc>
        <w:tc>
          <w:tcPr>
            <w:tcW w:type="dxa" w:w="4320"/>
            <w:vAlign w:val="center"/>
            <w:shd w:fill="EDEDED"/>
          </w:tcPr>
          <w:p>
            <w:pPr>
              <w:spacing w:after="0" w:line="240" w:lineRule="auto"/>
              <w:jc w:val="center"/>
            </w:pPr>
            <w:r>
              <w:rPr>
                <w:b/>
                <w:sz w:val="19"/>
              </w:rPr>
              <w:t>Filas originales</w:t>
            </w:r>
          </w:p>
        </w:tc>
      </w:tr>
      <w:tr>
        <w:trPr>
          <w:cantSplit/>
        </w:trPr>
        <w:tc>
          <w:tcPr>
            <w:tcW w:type="dxa" w:w="2448"/>
            <w:vAlign w:val="center"/>
          </w:tcPr>
          <w:p>
            <w:pPr>
              <w:spacing w:after="0" w:line="240" w:lineRule="auto"/>
              <w:jc w:val="left"/>
            </w:pPr>
            <w:r>
              <w:rPr>
                <w:b w:val="0"/>
                <w:sz w:val="19"/>
              </w:rPr>
              <w:t>Verde</w:t>
            </w:r>
          </w:p>
        </w:tc>
        <w:tc>
          <w:tcPr>
            <w:tcW w:type="dxa" w:w="1440"/>
            <w:vAlign w:val="center"/>
          </w:tcPr>
          <w:p>
            <w:pPr>
              <w:spacing w:after="0" w:line="240" w:lineRule="auto"/>
              <w:jc w:val="center"/>
            </w:pPr>
            <w:r>
              <w:rPr>
                <w:b w:val="0"/>
                <w:sz w:val="19"/>
              </w:rPr>
              <w:t>2024</w:t>
            </w:r>
          </w:p>
        </w:tc>
        <w:tc>
          <w:tcPr>
            <w:tcW w:type="dxa" w:w="1728"/>
            <w:vAlign w:val="center"/>
          </w:tcPr>
          <w:p>
            <w:pPr>
              <w:spacing w:after="0" w:line="240" w:lineRule="auto"/>
              <w:jc w:val="center"/>
            </w:pPr>
            <w:r>
              <w:rPr>
                <w:b w:val="0"/>
                <w:sz w:val="19"/>
              </w:rPr>
              <w:t>12</w:t>
            </w:r>
          </w:p>
        </w:tc>
        <w:tc>
          <w:tcPr>
            <w:tcW w:type="dxa" w:w="4320"/>
            <w:vAlign w:val="center"/>
          </w:tcPr>
          <w:p>
            <w:pPr>
              <w:spacing w:after="0" w:line="240" w:lineRule="auto"/>
              <w:jc w:val="center"/>
            </w:pPr>
            <w:r>
              <w:rPr>
                <w:b w:val="0"/>
                <w:sz w:val="19"/>
              </w:rPr>
              <w:t>660,218</w:t>
            </w:r>
          </w:p>
        </w:tc>
      </w:tr>
      <w:tr>
        <w:trPr>
          <w:cantSplit/>
        </w:trPr>
        <w:tc>
          <w:tcPr>
            <w:tcW w:type="dxa" w:w="2448"/>
            <w:vAlign w:val="center"/>
          </w:tcPr>
          <w:p>
            <w:pPr>
              <w:spacing w:after="0" w:line="240" w:lineRule="auto"/>
              <w:jc w:val="left"/>
            </w:pPr>
            <w:r>
              <w:rPr>
                <w:b w:val="0"/>
                <w:sz w:val="19"/>
              </w:rPr>
              <w:t>Verde</w:t>
            </w:r>
          </w:p>
        </w:tc>
        <w:tc>
          <w:tcPr>
            <w:tcW w:type="dxa" w:w="1440"/>
            <w:vAlign w:val="center"/>
          </w:tcPr>
          <w:p>
            <w:pPr>
              <w:spacing w:after="0" w:line="240" w:lineRule="auto"/>
              <w:jc w:val="center"/>
            </w:pPr>
            <w:r>
              <w:rPr>
                <w:b w:val="0"/>
                <w:sz w:val="19"/>
              </w:rPr>
              <w:t>2025</w:t>
            </w:r>
          </w:p>
        </w:tc>
        <w:tc>
          <w:tcPr>
            <w:tcW w:type="dxa" w:w="1728"/>
            <w:vAlign w:val="center"/>
          </w:tcPr>
          <w:p>
            <w:pPr>
              <w:spacing w:after="0" w:line="240" w:lineRule="auto"/>
              <w:jc w:val="center"/>
            </w:pPr>
            <w:r>
              <w:rPr>
                <w:b w:val="0"/>
                <w:sz w:val="19"/>
              </w:rPr>
              <w:t>12</w:t>
            </w:r>
          </w:p>
        </w:tc>
        <w:tc>
          <w:tcPr>
            <w:tcW w:type="dxa" w:w="4320"/>
            <w:vAlign w:val="center"/>
          </w:tcPr>
          <w:p>
            <w:pPr>
              <w:spacing w:after="0" w:line="240" w:lineRule="auto"/>
              <w:jc w:val="center"/>
            </w:pPr>
            <w:r>
              <w:rPr>
                <w:b w:val="0"/>
                <w:sz w:val="19"/>
              </w:rPr>
              <w:t>591,375</w:t>
            </w:r>
          </w:p>
        </w:tc>
      </w:tr>
      <w:tr>
        <w:trPr>
          <w:cantSplit/>
        </w:trPr>
        <w:tc>
          <w:tcPr>
            <w:tcW w:type="dxa" w:w="2448"/>
            <w:vAlign w:val="center"/>
          </w:tcPr>
          <w:p>
            <w:pPr>
              <w:spacing w:after="0" w:line="240" w:lineRule="auto"/>
              <w:jc w:val="left"/>
            </w:pPr>
            <w:r>
              <w:rPr>
                <w:b w:val="0"/>
                <w:sz w:val="19"/>
              </w:rPr>
              <w:t>Verde</w:t>
            </w:r>
          </w:p>
        </w:tc>
        <w:tc>
          <w:tcPr>
            <w:tcW w:type="dxa" w:w="1440"/>
            <w:vAlign w:val="center"/>
          </w:tcPr>
          <w:p>
            <w:pPr>
              <w:spacing w:after="0" w:line="240" w:lineRule="auto"/>
              <w:jc w:val="center"/>
            </w:pPr>
            <w:r>
              <w:rPr>
                <w:b w:val="0"/>
                <w:sz w:val="19"/>
              </w:rPr>
              <w:t>2026</w:t>
            </w:r>
          </w:p>
        </w:tc>
        <w:tc>
          <w:tcPr>
            <w:tcW w:type="dxa" w:w="1728"/>
            <w:vAlign w:val="center"/>
          </w:tcPr>
          <w:p>
            <w:pPr>
              <w:spacing w:after="0" w:line="240" w:lineRule="auto"/>
              <w:jc w:val="center"/>
            </w:pPr>
            <w:r>
              <w:rPr>
                <w:b w:val="0"/>
                <w:sz w:val="19"/>
              </w:rPr>
              <w:t>8</w:t>
            </w:r>
          </w:p>
        </w:tc>
        <w:tc>
          <w:tcPr>
            <w:tcW w:type="dxa" w:w="4320"/>
            <w:vAlign w:val="center"/>
          </w:tcPr>
          <w:p>
            <w:pPr>
              <w:spacing w:after="0" w:line="240" w:lineRule="auto"/>
              <w:jc w:val="center"/>
            </w:pPr>
            <w:r>
              <w:rPr>
                <w:b w:val="0"/>
                <w:sz w:val="19"/>
              </w:rPr>
              <w:t>337,114</w:t>
            </w:r>
          </w:p>
        </w:tc>
      </w:tr>
      <w:tr>
        <w:trPr>
          <w:cantSplit/>
        </w:trPr>
        <w:tc>
          <w:tcPr>
            <w:tcW w:type="dxa" w:w="2448"/>
            <w:vAlign w:val="center"/>
          </w:tcPr>
          <w:p>
            <w:pPr>
              <w:spacing w:after="0" w:line="240" w:lineRule="auto"/>
              <w:jc w:val="left"/>
            </w:pPr>
            <w:r>
              <w:rPr>
                <w:b w:val="0"/>
                <w:sz w:val="19"/>
              </w:rPr>
              <w:t>Amarillo</w:t>
            </w:r>
          </w:p>
        </w:tc>
        <w:tc>
          <w:tcPr>
            <w:tcW w:type="dxa" w:w="1440"/>
            <w:vAlign w:val="center"/>
          </w:tcPr>
          <w:p>
            <w:pPr>
              <w:spacing w:after="0" w:line="240" w:lineRule="auto"/>
              <w:jc w:val="center"/>
            </w:pPr>
            <w:r>
              <w:rPr>
                <w:b w:val="0"/>
                <w:sz w:val="19"/>
              </w:rPr>
              <w:t>2024</w:t>
            </w:r>
          </w:p>
        </w:tc>
        <w:tc>
          <w:tcPr>
            <w:tcW w:type="dxa" w:w="1728"/>
            <w:vAlign w:val="center"/>
          </w:tcPr>
          <w:p>
            <w:pPr>
              <w:spacing w:after="0" w:line="240" w:lineRule="auto"/>
              <w:jc w:val="center"/>
            </w:pPr>
            <w:r>
              <w:rPr>
                <w:b w:val="0"/>
                <w:sz w:val="19"/>
              </w:rPr>
              <w:t>12</w:t>
            </w:r>
          </w:p>
        </w:tc>
        <w:tc>
          <w:tcPr>
            <w:tcW w:type="dxa" w:w="4320"/>
            <w:vAlign w:val="center"/>
          </w:tcPr>
          <w:p>
            <w:pPr>
              <w:spacing w:after="0" w:line="240" w:lineRule="auto"/>
              <w:jc w:val="center"/>
            </w:pPr>
            <w:r>
              <w:rPr>
                <w:b w:val="0"/>
                <w:sz w:val="19"/>
              </w:rPr>
              <w:t>41,169,720</w:t>
            </w:r>
          </w:p>
        </w:tc>
      </w:tr>
      <w:tr>
        <w:trPr>
          <w:cantSplit/>
        </w:trPr>
        <w:tc>
          <w:tcPr>
            <w:tcW w:type="dxa" w:w="2448"/>
            <w:vAlign w:val="center"/>
          </w:tcPr>
          <w:p>
            <w:pPr>
              <w:spacing w:after="0" w:line="240" w:lineRule="auto"/>
              <w:jc w:val="left"/>
            </w:pPr>
            <w:r>
              <w:rPr>
                <w:b w:val="0"/>
                <w:sz w:val="19"/>
              </w:rPr>
              <w:t>Amarillo</w:t>
            </w:r>
          </w:p>
        </w:tc>
        <w:tc>
          <w:tcPr>
            <w:tcW w:type="dxa" w:w="1440"/>
            <w:vAlign w:val="center"/>
          </w:tcPr>
          <w:p>
            <w:pPr>
              <w:spacing w:after="0" w:line="240" w:lineRule="auto"/>
              <w:jc w:val="center"/>
            </w:pPr>
            <w:r>
              <w:rPr>
                <w:b w:val="0"/>
                <w:sz w:val="19"/>
              </w:rPr>
              <w:t>2025</w:t>
            </w:r>
          </w:p>
        </w:tc>
        <w:tc>
          <w:tcPr>
            <w:tcW w:type="dxa" w:w="1728"/>
            <w:vAlign w:val="center"/>
          </w:tcPr>
          <w:p>
            <w:pPr>
              <w:spacing w:after="0" w:line="240" w:lineRule="auto"/>
              <w:jc w:val="center"/>
            </w:pPr>
            <w:r>
              <w:rPr>
                <w:b w:val="0"/>
                <w:sz w:val="19"/>
              </w:rPr>
              <w:t>12</w:t>
            </w:r>
          </w:p>
        </w:tc>
        <w:tc>
          <w:tcPr>
            <w:tcW w:type="dxa" w:w="4320"/>
            <w:vAlign w:val="center"/>
          </w:tcPr>
          <w:p>
            <w:pPr>
              <w:spacing w:after="0" w:line="240" w:lineRule="auto"/>
              <w:jc w:val="center"/>
            </w:pPr>
            <w:r>
              <w:rPr>
                <w:b w:val="0"/>
                <w:sz w:val="19"/>
              </w:rPr>
              <w:t>48,722,602</w:t>
            </w:r>
          </w:p>
        </w:tc>
      </w:tr>
      <w:tr>
        <w:trPr>
          <w:cantSplit/>
        </w:trPr>
        <w:tc>
          <w:tcPr>
            <w:tcW w:type="dxa" w:w="2448"/>
            <w:vAlign w:val="center"/>
          </w:tcPr>
          <w:p>
            <w:pPr>
              <w:spacing w:after="0" w:line="240" w:lineRule="auto"/>
              <w:jc w:val="left"/>
            </w:pPr>
            <w:r>
              <w:rPr>
                <w:b w:val="0"/>
                <w:sz w:val="19"/>
              </w:rPr>
              <w:t>Amarillo</w:t>
            </w:r>
          </w:p>
        </w:tc>
        <w:tc>
          <w:tcPr>
            <w:tcW w:type="dxa" w:w="1440"/>
            <w:vAlign w:val="center"/>
          </w:tcPr>
          <w:p>
            <w:pPr>
              <w:spacing w:after="0" w:line="240" w:lineRule="auto"/>
              <w:jc w:val="center"/>
            </w:pPr>
            <w:r>
              <w:rPr>
                <w:b w:val="0"/>
                <w:sz w:val="19"/>
              </w:rPr>
              <w:t>2026</w:t>
            </w:r>
          </w:p>
        </w:tc>
        <w:tc>
          <w:tcPr>
            <w:tcW w:type="dxa" w:w="1728"/>
            <w:vAlign w:val="center"/>
          </w:tcPr>
          <w:p>
            <w:pPr>
              <w:spacing w:after="0" w:line="240" w:lineRule="auto"/>
              <w:jc w:val="center"/>
            </w:pPr>
            <w:r>
              <w:rPr>
                <w:b w:val="0"/>
                <w:sz w:val="19"/>
              </w:rPr>
              <w:t>8</w:t>
            </w:r>
          </w:p>
        </w:tc>
        <w:tc>
          <w:tcPr>
            <w:tcW w:type="dxa" w:w="4320"/>
            <w:vAlign w:val="center"/>
          </w:tcPr>
          <w:p>
            <w:pPr>
              <w:spacing w:after="0" w:line="240" w:lineRule="auto"/>
              <w:jc w:val="center"/>
            </w:pPr>
            <w:r>
              <w:rPr>
                <w:b w:val="0"/>
                <w:sz w:val="19"/>
              </w:rPr>
              <w:t>29,703,355</w:t>
            </w:r>
          </w:p>
        </w:tc>
      </w:tr>
    </w:tbl>
    <w:p>
      <w:pPr>
        <w:spacing w:after="0"/>
      </w:pPr>
    </w:p>
    <w:p>
      <w:r>
        <w:t>Normalizamos las fechas tpep de yellow y lpep de green como pickup y dropoff. La vista común tiene 19 columnas. union_by_name permite unir archivos cuyos esquemas cambian. Los esquemas originales se conservan en los CSV de resultados.</w:t>
      </w:r>
    </w:p>
    <w:p>
      <w:pPr>
        <w:spacing w:line="240" w:lineRule="auto"/>
      </w:pPr>
      <w:r>
        <w:rPr>
          <w:rFonts w:ascii="Courier New" w:hAnsi="Courier New"/>
          <w:sz w:val="17"/>
        </w:rPr>
        <w:t>SELECT COUNT(*) AS filas</w:t>
        <w:br/>
        <w:t>FROM read_parquet(</w:t>
        <w:br/>
        <w:t xml:space="preserve">  'data/raw/yellow/2026/*.parquet',</w:t>
        <w:br/>
        <w:t xml:space="preserve">  union_by_name = true</w:t>
        <w:br/>
        <w:t>);</w:t>
      </w:r>
    </w:p>
    <w:p>
      <w:pPr>
        <w:pStyle w:val="Heading1"/>
        <w:pageBreakBefore/>
      </w:pPr>
      <w:r>
        <w:t>Ejercicio 4 Hallazgos iniciales de 2026</w:t>
      </w:r>
    </w:p>
    <w:p>
      <w:r>
        <w:t>En la primera etapa se analizaron 30,040,469 registros de enero a agosto de 2026. Después de aplicar las reglas de calidad quedaron 28,219,350 viajes amarillos y 317,814 verdes. La diferencia de volumen es de aproximadamente 89 viajes amarillos por cada viaje verde.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5040"/>
        <w:gridCol w:w="2448"/>
        <w:gridCol w:w="2448"/>
      </w:tblGrid>
      <w:tr>
        <w:trPr>
          <w:tblHeader/>
          <w:cantSplit/>
        </w:trPr>
        <w:tc>
          <w:tcPr>
            <w:tcW w:type="dxa" w:w="5040"/>
            <w:vAlign w:val="center"/>
            <w:shd w:fill="EDEDED"/>
          </w:tcPr>
          <w:p>
            <w:pPr>
              <w:spacing w:after="0" w:line="240" w:lineRule="auto"/>
              <w:jc w:val="left"/>
            </w:pPr>
            <w:r>
              <w:rPr>
                <w:b/>
                <w:sz w:val="19"/>
              </w:rPr>
              <w:t>Indicador de 2026</w:t>
            </w:r>
          </w:p>
        </w:tc>
        <w:tc>
          <w:tcPr>
            <w:tcW w:type="dxa" w:w="2448"/>
            <w:vAlign w:val="center"/>
            <w:shd w:fill="EDEDED"/>
          </w:tcPr>
          <w:p>
            <w:pPr>
              <w:spacing w:after="0" w:line="240" w:lineRule="auto"/>
              <w:jc w:val="center"/>
            </w:pPr>
            <w:r>
              <w:rPr>
                <w:b/>
                <w:sz w:val="19"/>
              </w:rPr>
              <w:t>Amarillo</w:t>
            </w:r>
          </w:p>
        </w:tc>
        <w:tc>
          <w:tcPr>
            <w:tcW w:type="dxa" w:w="2448"/>
            <w:vAlign w:val="center"/>
            <w:shd w:fill="EDEDED"/>
          </w:tcPr>
          <w:p>
            <w:pPr>
              <w:spacing w:after="0" w:line="240" w:lineRule="auto"/>
              <w:jc w:val="center"/>
            </w:pPr>
            <w:r>
              <w:rPr>
                <w:b/>
                <w:sz w:val="19"/>
              </w:rPr>
              <w:t>Verde</w:t>
            </w:r>
          </w:p>
        </w:tc>
      </w:tr>
      <w:tr>
        <w:trPr>
          <w:cantSplit/>
        </w:trPr>
        <w:tc>
          <w:tcPr>
            <w:tcW w:type="dxa" w:w="5040"/>
            <w:vAlign w:val="center"/>
          </w:tcPr>
          <w:p>
            <w:pPr>
              <w:spacing w:after="0" w:line="240" w:lineRule="auto"/>
              <w:jc w:val="left"/>
            </w:pPr>
            <w:r>
              <w:rPr>
                <w:b w:val="0"/>
                <w:sz w:val="19"/>
              </w:rPr>
              <w:t>Viajes válidos</w:t>
            </w:r>
          </w:p>
        </w:tc>
        <w:tc>
          <w:tcPr>
            <w:tcW w:type="dxa" w:w="2448"/>
            <w:vAlign w:val="center"/>
          </w:tcPr>
          <w:p>
            <w:pPr>
              <w:spacing w:after="0" w:line="240" w:lineRule="auto"/>
              <w:jc w:val="center"/>
            </w:pPr>
            <w:r>
              <w:rPr>
                <w:b w:val="0"/>
                <w:sz w:val="19"/>
              </w:rPr>
              <w:t>28,219,350</w:t>
            </w:r>
          </w:p>
        </w:tc>
        <w:tc>
          <w:tcPr>
            <w:tcW w:type="dxa" w:w="2448"/>
            <w:vAlign w:val="center"/>
          </w:tcPr>
          <w:p>
            <w:pPr>
              <w:spacing w:after="0" w:line="240" w:lineRule="auto"/>
              <w:jc w:val="center"/>
            </w:pPr>
            <w:r>
              <w:rPr>
                <w:b w:val="0"/>
                <w:sz w:val="19"/>
              </w:rPr>
              <w:t>317,814</w:t>
            </w:r>
          </w:p>
        </w:tc>
      </w:tr>
      <w:tr>
        <w:trPr>
          <w:cantSplit/>
        </w:trPr>
        <w:tc>
          <w:tcPr>
            <w:tcW w:type="dxa" w:w="5040"/>
            <w:vAlign w:val="center"/>
          </w:tcPr>
          <w:p>
            <w:pPr>
              <w:spacing w:after="0" w:line="240" w:lineRule="auto"/>
              <w:jc w:val="left"/>
            </w:pPr>
            <w:r>
              <w:rPr>
                <w:b w:val="0"/>
                <w:sz w:val="19"/>
              </w:rPr>
              <w:t>Importe medio por viaje en USD</w:t>
            </w:r>
          </w:p>
        </w:tc>
        <w:tc>
          <w:tcPr>
            <w:tcW w:type="dxa" w:w="2448"/>
            <w:vAlign w:val="center"/>
          </w:tcPr>
          <w:p>
            <w:pPr>
              <w:spacing w:after="0" w:line="240" w:lineRule="auto"/>
              <w:jc w:val="center"/>
            </w:pPr>
            <w:r>
              <w:rPr>
                <w:b w:val="0"/>
                <w:sz w:val="19"/>
              </w:rPr>
              <w:t>30.24</w:t>
            </w:r>
          </w:p>
        </w:tc>
        <w:tc>
          <w:tcPr>
            <w:tcW w:type="dxa" w:w="2448"/>
            <w:vAlign w:val="center"/>
          </w:tcPr>
          <w:p>
            <w:pPr>
              <w:spacing w:after="0" w:line="240" w:lineRule="auto"/>
              <w:jc w:val="center"/>
            </w:pPr>
            <w:r>
              <w:rPr>
                <w:b w:val="0"/>
                <w:sz w:val="19"/>
              </w:rPr>
              <w:t>25.35</w:t>
            </w:r>
          </w:p>
        </w:tc>
      </w:tr>
      <w:tr>
        <w:trPr>
          <w:cantSplit/>
        </w:trPr>
        <w:tc>
          <w:tcPr>
            <w:tcW w:type="dxa" w:w="5040"/>
            <w:vAlign w:val="center"/>
          </w:tcPr>
          <w:p>
            <w:pPr>
              <w:spacing w:after="0" w:line="240" w:lineRule="auto"/>
              <w:jc w:val="left"/>
            </w:pPr>
            <w:r>
              <w:rPr>
                <w:b w:val="0"/>
                <w:sz w:val="19"/>
              </w:rPr>
              <w:t>Hora con más viajes</w:t>
            </w:r>
          </w:p>
        </w:tc>
        <w:tc>
          <w:tcPr>
            <w:tcW w:type="dxa" w:w="2448"/>
            <w:vAlign w:val="center"/>
          </w:tcPr>
          <w:p>
            <w:pPr>
              <w:spacing w:after="0" w:line="240" w:lineRule="auto"/>
              <w:jc w:val="center"/>
            </w:pPr>
            <w:r>
              <w:rPr>
                <w:b w:val="0"/>
                <w:sz w:val="19"/>
              </w:rPr>
              <w:t>18:00</w:t>
            </w:r>
          </w:p>
        </w:tc>
        <w:tc>
          <w:tcPr>
            <w:tcW w:type="dxa" w:w="2448"/>
            <w:vAlign w:val="center"/>
          </w:tcPr>
          <w:p>
            <w:pPr>
              <w:spacing w:after="0" w:line="240" w:lineRule="auto"/>
              <w:jc w:val="center"/>
            </w:pPr>
            <w:r>
              <w:rPr>
                <w:b w:val="0"/>
                <w:sz w:val="19"/>
              </w:rPr>
              <w:t>17:00</w:t>
            </w:r>
          </w:p>
        </w:tc>
      </w:tr>
    </w:tbl>
    <w:p>
      <w:pPr>
        <w:spacing w:after="0"/>
      </w:pPr>
    </w:p>
    <w:p>
      <w:r>
        <w:t>Las reglas excluyeron 1,503,305 filas, equivalentes al 5.00% de la etapa inicial. Encontramos 244 fechas fuera del mes y año del archivo o sin fecha, además de 7,765,463 registros sin passenger_count. Las fechas antiguas, como 2001 y 2008, muestran por qué no conviene agrupar solamente por la fecha registrada sin revisar su coherencia.</w:t>
      </w:r>
    </w:p>
    <w:p>
      <w:pPr>
        <w:pStyle w:val="Heading2"/>
      </w:pPr>
      <w:r>
        <w:t>Reglas usadas en los indicadores</w:t>
      </w:r>
    </w:p>
    <w:p>
      <w:r>
        <w:t>Un viaje entra en la población analítica si su fecha de inicio coincide con el mes y año del archivo, su distancia es mayor que cero y no supera 100 millas, su duración es mayor que cero y no supera 180 minutos, y su tarifa e importe total son positivos. Son criterios de este análisis. Algunos viajes excluidos pueden corresponder a ajustes, reembolsos o recorridos largos reales.</w:t>
      </w:r>
    </w:p>
    <w:p>
      <w:r>
        <w:t>Los archivos originales y las filas marcadas se conservan. Los motivos de exclusión pueden solaparse, por lo que sus conteos no se suman directamente. No imputamos pasajeros ni eliminamos supuestos duplicados, porque no hay un identificador universal que permita confirmarlos.</w:t>
      </w:r>
    </w:p>
    <w:p>
      <w:pPr>
        <w:pStyle w:val="Heading1"/>
      </w:pPr>
      <w:r>
        <w:t>Ejercicio 5 Incorporación de 2024</w:t>
      </w:r>
    </w:p>
    <w:p>
      <w:r>
        <w:t>Agregamos los 24 archivos de 2024 y conservamos los 16 de 2026. El conjunto pasó a 40 archivos y 71,870,407 registros. Las consultas se volvieron a ejecutar con la misma lógica. Solo cambió el parámetro de años, de 2026 a 2024 y 2026.</w:t>
      </w:r>
    </w:p>
    <w:p>
      <w:r>
        <w:t>El manifiesto expanded_2024_2026 registra los archivos anteriores como existing. La verificación compara sus hashes, tamaños y filas para comprobar que se conservaron. Esta etapa permite revisar el comportamiento del análisis cuando crece el volumen de datos.</w:t>
      </w:r>
    </w:p>
    <w:p>
      <w:r>
        <w:t>El campo cbd_congestion_fee no existe en los archivos de 2024. Se representa como NULL para distinguir la ausencia de la columna de un recargo igual a cero. El mismo criterio se mantiene al incorporar 2025. Los resultados y las consultas de cada etapa quedan en docs/results.</w:t>
      </w:r>
    </w:p>
    <w:p>
      <w:pPr>
        <w:pStyle w:val="Heading1"/>
        <w:pageBreakBefore/>
      </w:pPr>
      <w:r>
        <w:t>Ejercicio 6 Parquet y tablas DuckDB</w:t>
      </w:r>
    </w:p>
    <w:p>
      <w:r>
        <w:t>Comparamos cuatro consultas en cuatro escalas. Ambas rutas usan las mismas filas y las mismas 19 columnas normalizadas. Una lee Parquet y la otra una tabla DuckDB materializada. Calentamos ambas rutas y realizamos tres repeticiones alternando el orden. El tiempo incluye ejecutar y recuperar el resultado. Las 96 mediciones verifican que ambas rutas devuelven resultados equivalentes.</w:t>
      </w:r>
    </w:p>
    <w:p>
      <w:r>
        <w:t>El benchmark se ejecutó en macOS con Python 3.13.0, DuckDB 1.5.5, cuatro hilos y un límite de memoria de 3 GB. Se usó caché caliente y no se vació la caché del sistema operativo. La descarga queda fuera de la medición. La creación de la tabla y CHECKPOINT se midieron aparte.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2448"/>
        <w:gridCol w:w="3024"/>
        <w:gridCol w:w="2376"/>
        <w:gridCol w:w="2088"/>
      </w:tblGrid>
      <w:tr>
        <w:trPr>
          <w:tblHeader/>
          <w:cantSplit/>
        </w:trPr>
        <w:tc>
          <w:tcPr>
            <w:tcW w:type="dxa" w:w="2448"/>
            <w:vAlign w:val="center"/>
            <w:shd w:fill="EDEDED"/>
          </w:tcPr>
          <w:p>
            <w:pPr>
              <w:spacing w:after="0" w:line="240" w:lineRule="auto"/>
              <w:jc w:val="left"/>
            </w:pPr>
            <w:r>
              <w:rPr>
                <w:b/>
                <w:sz w:val="19"/>
              </w:rPr>
              <w:t>Escala</w:t>
            </w:r>
          </w:p>
        </w:tc>
        <w:tc>
          <w:tcPr>
            <w:tcW w:type="dxa" w:w="3024"/>
            <w:vAlign w:val="center"/>
            <w:shd w:fill="EDEDED"/>
          </w:tcPr>
          <w:p>
            <w:pPr>
              <w:spacing w:after="0" w:line="240" w:lineRule="auto"/>
              <w:jc w:val="center"/>
            </w:pPr>
            <w:r>
              <w:rPr>
                <w:b/>
                <w:sz w:val="19"/>
              </w:rPr>
              <w:t>Filas</w:t>
            </w:r>
          </w:p>
        </w:tc>
        <w:tc>
          <w:tcPr>
            <w:tcW w:type="dxa" w:w="2376"/>
            <w:vAlign w:val="center"/>
            <w:shd w:fill="EDEDED"/>
          </w:tcPr>
          <w:p>
            <w:pPr>
              <w:spacing w:after="0" w:line="240" w:lineRule="auto"/>
              <w:jc w:val="center"/>
            </w:pPr>
            <w:r>
              <w:rPr>
                <w:b/>
                <w:sz w:val="19"/>
              </w:rPr>
              <w:t>Crear tabla en s</w:t>
            </w:r>
          </w:p>
        </w:tc>
        <w:tc>
          <w:tcPr>
            <w:tcW w:type="dxa" w:w="2088"/>
            <w:vAlign w:val="center"/>
            <w:shd w:fill="EDEDED"/>
          </w:tcPr>
          <w:p>
            <w:pPr>
              <w:spacing w:after="0" w:line="240" w:lineRule="auto"/>
              <w:jc w:val="center"/>
            </w:pPr>
            <w:r>
              <w:rPr>
                <w:b/>
                <w:sz w:val="19"/>
              </w:rPr>
              <w:t>Base en GB</w:t>
            </w:r>
          </w:p>
        </w:tc>
      </w:tr>
      <w:tr>
        <w:trPr>
          <w:cantSplit/>
        </w:trPr>
        <w:tc>
          <w:tcPr>
            <w:tcW w:type="dxa" w:w="2448"/>
            <w:vAlign w:val="center"/>
          </w:tcPr>
          <w:p>
            <w:pPr>
              <w:spacing w:after="0" w:line="240" w:lineRule="auto"/>
              <w:jc w:val="left"/>
            </w:pPr>
            <w:r>
              <w:rPr>
                <w:b w:val="0"/>
                <w:sz w:val="19"/>
              </w:rPr>
              <w:t>Un mes de 2026</w:t>
            </w:r>
          </w:p>
        </w:tc>
        <w:tc>
          <w:tcPr>
            <w:tcW w:type="dxa" w:w="3024"/>
            <w:vAlign w:val="center"/>
          </w:tcPr>
          <w:p>
            <w:pPr>
              <w:spacing w:after="0" w:line="240" w:lineRule="auto"/>
              <w:jc w:val="center"/>
            </w:pPr>
            <w:r>
              <w:rPr>
                <w:b w:val="0"/>
                <w:sz w:val="19"/>
              </w:rPr>
              <w:t>3,765,161</w:t>
            </w:r>
          </w:p>
        </w:tc>
        <w:tc>
          <w:tcPr>
            <w:tcW w:type="dxa" w:w="2376"/>
            <w:vAlign w:val="center"/>
          </w:tcPr>
          <w:p>
            <w:pPr>
              <w:spacing w:after="0" w:line="240" w:lineRule="auto"/>
              <w:jc w:val="center"/>
            </w:pPr>
            <w:r>
              <w:rPr>
                <w:b w:val="0"/>
                <w:sz w:val="19"/>
              </w:rPr>
              <w:t>1.076</w:t>
            </w:r>
          </w:p>
        </w:tc>
        <w:tc>
          <w:tcPr>
            <w:tcW w:type="dxa" w:w="2088"/>
            <w:vAlign w:val="center"/>
          </w:tcPr>
          <w:p>
            <w:pPr>
              <w:spacing w:after="0" w:line="240" w:lineRule="auto"/>
              <w:jc w:val="center"/>
            </w:pPr>
            <w:r>
              <w:rPr>
                <w:b w:val="0"/>
                <w:sz w:val="19"/>
              </w:rPr>
              <w:t>0.097</w:t>
            </w:r>
          </w:p>
        </w:tc>
      </w:tr>
      <w:tr>
        <w:trPr>
          <w:cantSplit/>
        </w:trPr>
        <w:tc>
          <w:tcPr>
            <w:tcW w:type="dxa" w:w="2448"/>
            <w:vAlign w:val="center"/>
          </w:tcPr>
          <w:p>
            <w:pPr>
              <w:spacing w:after="0" w:line="240" w:lineRule="auto"/>
              <w:jc w:val="left"/>
            </w:pPr>
            <w:r>
              <w:rPr>
                <w:b w:val="0"/>
                <w:sz w:val="19"/>
              </w:rPr>
              <w:t>2026</w:t>
            </w:r>
          </w:p>
        </w:tc>
        <w:tc>
          <w:tcPr>
            <w:tcW w:type="dxa" w:w="3024"/>
            <w:vAlign w:val="center"/>
          </w:tcPr>
          <w:p>
            <w:pPr>
              <w:spacing w:after="0" w:line="240" w:lineRule="auto"/>
              <w:jc w:val="center"/>
            </w:pPr>
            <w:r>
              <w:rPr>
                <w:b w:val="0"/>
                <w:sz w:val="19"/>
              </w:rPr>
              <w:t>30,040,469</w:t>
            </w:r>
          </w:p>
        </w:tc>
        <w:tc>
          <w:tcPr>
            <w:tcW w:type="dxa" w:w="2376"/>
            <w:vAlign w:val="center"/>
          </w:tcPr>
          <w:p>
            <w:pPr>
              <w:spacing w:after="0" w:line="240" w:lineRule="auto"/>
              <w:jc w:val="center"/>
            </w:pPr>
            <w:r>
              <w:rPr>
                <w:b w:val="0"/>
                <w:sz w:val="19"/>
              </w:rPr>
              <w:t>7.861</w:t>
            </w:r>
          </w:p>
        </w:tc>
        <w:tc>
          <w:tcPr>
            <w:tcW w:type="dxa" w:w="2088"/>
            <w:vAlign w:val="center"/>
          </w:tcPr>
          <w:p>
            <w:pPr>
              <w:spacing w:after="0" w:line="240" w:lineRule="auto"/>
              <w:jc w:val="center"/>
            </w:pPr>
            <w:r>
              <w:rPr>
                <w:b w:val="0"/>
                <w:sz w:val="19"/>
              </w:rPr>
              <w:t>0.776</w:t>
            </w:r>
          </w:p>
        </w:tc>
      </w:tr>
      <w:tr>
        <w:trPr>
          <w:cantSplit/>
        </w:trPr>
        <w:tc>
          <w:tcPr>
            <w:tcW w:type="dxa" w:w="2448"/>
            <w:vAlign w:val="center"/>
          </w:tcPr>
          <w:p>
            <w:pPr>
              <w:spacing w:after="0" w:line="240" w:lineRule="auto"/>
              <w:jc w:val="left"/>
            </w:pPr>
            <w:r>
              <w:rPr>
                <w:b w:val="0"/>
                <w:sz w:val="19"/>
              </w:rPr>
              <w:t>2024 y 2026</w:t>
            </w:r>
          </w:p>
        </w:tc>
        <w:tc>
          <w:tcPr>
            <w:tcW w:type="dxa" w:w="3024"/>
            <w:vAlign w:val="center"/>
          </w:tcPr>
          <w:p>
            <w:pPr>
              <w:spacing w:after="0" w:line="240" w:lineRule="auto"/>
              <w:jc w:val="center"/>
            </w:pPr>
            <w:r>
              <w:rPr>
                <w:b w:val="0"/>
                <w:sz w:val="19"/>
              </w:rPr>
              <w:t>71,870,407</w:t>
            </w:r>
          </w:p>
        </w:tc>
        <w:tc>
          <w:tcPr>
            <w:tcW w:type="dxa" w:w="2376"/>
            <w:vAlign w:val="center"/>
          </w:tcPr>
          <w:p>
            <w:pPr>
              <w:spacing w:after="0" w:line="240" w:lineRule="auto"/>
              <w:jc w:val="center"/>
            </w:pPr>
            <w:r>
              <w:rPr>
                <w:b w:val="0"/>
                <w:sz w:val="19"/>
              </w:rPr>
              <w:t>18.200</w:t>
            </w:r>
          </w:p>
        </w:tc>
        <w:tc>
          <w:tcPr>
            <w:tcW w:type="dxa" w:w="2088"/>
            <w:vAlign w:val="center"/>
          </w:tcPr>
          <w:p>
            <w:pPr>
              <w:spacing w:after="0" w:line="240" w:lineRule="auto"/>
              <w:jc w:val="center"/>
            </w:pPr>
            <w:r>
              <w:rPr>
                <w:b w:val="0"/>
                <w:sz w:val="19"/>
              </w:rPr>
              <w:t>1.827</w:t>
            </w:r>
          </w:p>
        </w:tc>
      </w:tr>
      <w:tr>
        <w:trPr>
          <w:cantSplit/>
        </w:trPr>
        <w:tc>
          <w:tcPr>
            <w:tcW w:type="dxa" w:w="2448"/>
            <w:vAlign w:val="center"/>
          </w:tcPr>
          <w:p>
            <w:pPr>
              <w:spacing w:after="0" w:line="240" w:lineRule="auto"/>
              <w:jc w:val="left"/>
            </w:pPr>
            <w:r>
              <w:rPr>
                <w:b w:val="0"/>
                <w:sz w:val="19"/>
              </w:rPr>
              <w:t>Tres años</w:t>
            </w:r>
          </w:p>
        </w:tc>
        <w:tc>
          <w:tcPr>
            <w:tcW w:type="dxa" w:w="3024"/>
            <w:vAlign w:val="center"/>
          </w:tcPr>
          <w:p>
            <w:pPr>
              <w:spacing w:after="0" w:line="240" w:lineRule="auto"/>
              <w:jc w:val="center"/>
            </w:pPr>
            <w:r>
              <w:rPr>
                <w:b w:val="0"/>
                <w:sz w:val="19"/>
              </w:rPr>
              <w:t>121,184,384</w:t>
            </w:r>
          </w:p>
        </w:tc>
        <w:tc>
          <w:tcPr>
            <w:tcW w:type="dxa" w:w="2376"/>
            <w:vAlign w:val="center"/>
          </w:tcPr>
          <w:p>
            <w:pPr>
              <w:spacing w:after="0" w:line="240" w:lineRule="auto"/>
              <w:jc w:val="center"/>
            </w:pPr>
            <w:r>
              <w:rPr>
                <w:b w:val="0"/>
                <w:sz w:val="19"/>
              </w:rPr>
              <w:t>30.891</w:t>
            </w:r>
          </w:p>
        </w:tc>
        <w:tc>
          <w:tcPr>
            <w:tcW w:type="dxa" w:w="2088"/>
            <w:vAlign w:val="center"/>
          </w:tcPr>
          <w:p>
            <w:pPr>
              <w:spacing w:after="0" w:line="240" w:lineRule="auto"/>
              <w:jc w:val="center"/>
            </w:pPr>
            <w:r>
              <w:rPr>
                <w:b w:val="0"/>
                <w:sz w:val="19"/>
              </w:rPr>
              <w:t>3.110</w:t>
            </w:r>
          </w:p>
        </w:tc>
      </w:tr>
    </w:tbl>
    <w:p>
      <w:pPr>
        <w:spacing w:after="0"/>
      </w:pPr>
    </w:p>
    <w:p>
      <w:r>
        <w:t>La siguiente tabla muestra las medianas en segundos. Distribución calcula cuantiles de importes, horario agrupa por hora, mensual agrupa por mes y zonas obtiene zonas principales con un filtro.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2736"/>
        <w:gridCol w:w="2592"/>
        <w:gridCol w:w="2304"/>
        <w:gridCol w:w="2304"/>
      </w:tblGrid>
      <w:tr>
        <w:trPr>
          <w:tblHeader/>
          <w:cantSplit/>
        </w:trPr>
        <w:tc>
          <w:tcPr>
            <w:tcW w:type="dxa" w:w="2736"/>
            <w:vAlign w:val="center"/>
            <w:shd w:fill="EDEDED"/>
          </w:tcPr>
          <w:p>
            <w:pPr>
              <w:spacing w:after="0" w:line="240" w:lineRule="auto"/>
              <w:jc w:val="left"/>
            </w:pPr>
            <w:r>
              <w:rPr>
                <w:b/>
                <w:sz w:val="18"/>
              </w:rPr>
              <w:t>Escala</w:t>
            </w:r>
          </w:p>
        </w:tc>
        <w:tc>
          <w:tcPr>
            <w:tcW w:type="dxa" w:w="2592"/>
            <w:vAlign w:val="center"/>
            <w:shd w:fill="EDEDED"/>
          </w:tcPr>
          <w:p>
            <w:pPr>
              <w:spacing w:after="0" w:line="240" w:lineRule="auto"/>
              <w:jc w:val="center"/>
            </w:pPr>
            <w:r>
              <w:rPr>
                <w:b/>
                <w:sz w:val="18"/>
              </w:rPr>
              <w:t>Consulta</w:t>
            </w:r>
          </w:p>
        </w:tc>
        <w:tc>
          <w:tcPr>
            <w:tcW w:type="dxa" w:w="2304"/>
            <w:vAlign w:val="center"/>
            <w:shd w:fill="EDEDED"/>
          </w:tcPr>
          <w:p>
            <w:pPr>
              <w:spacing w:after="0" w:line="240" w:lineRule="auto"/>
              <w:jc w:val="center"/>
            </w:pPr>
            <w:r>
              <w:rPr>
                <w:b/>
                <w:sz w:val="18"/>
              </w:rPr>
              <w:t>Parquet en s</w:t>
            </w:r>
          </w:p>
        </w:tc>
        <w:tc>
          <w:tcPr>
            <w:tcW w:type="dxa" w:w="2304"/>
            <w:vAlign w:val="center"/>
            <w:shd w:fill="EDEDED"/>
          </w:tcPr>
          <w:p>
            <w:pPr>
              <w:spacing w:after="0" w:line="240" w:lineRule="auto"/>
              <w:jc w:val="center"/>
            </w:pPr>
            <w:r>
              <w:rPr>
                <w:b/>
                <w:sz w:val="18"/>
              </w:rPr>
              <w:t>Tabla en s</w:t>
            </w:r>
          </w:p>
        </w:tc>
      </w:tr>
      <w:tr>
        <w:trPr>
          <w:cantSplit/>
        </w:trPr>
        <w:tc>
          <w:tcPr>
            <w:tcW w:type="dxa" w:w="2736"/>
            <w:vAlign w:val="center"/>
          </w:tcPr>
          <w:p>
            <w:pPr>
              <w:spacing w:after="0" w:line="240" w:lineRule="auto"/>
              <w:jc w:val="left"/>
            </w:pPr>
            <w:r>
              <w:rPr>
                <w:b w:val="0"/>
                <w:sz w:val="18"/>
              </w:rPr>
              <w:t>Un mes de 2026</w:t>
            </w:r>
          </w:p>
        </w:tc>
        <w:tc>
          <w:tcPr>
            <w:tcW w:type="dxa" w:w="2592"/>
            <w:vAlign w:val="center"/>
          </w:tcPr>
          <w:p>
            <w:pPr>
              <w:spacing w:after="0" w:line="240" w:lineRule="auto"/>
              <w:jc w:val="center"/>
            </w:pPr>
            <w:r>
              <w:rPr>
                <w:b w:val="0"/>
                <w:sz w:val="18"/>
              </w:rPr>
              <w:t>Distribución</w:t>
            </w:r>
          </w:p>
        </w:tc>
        <w:tc>
          <w:tcPr>
            <w:tcW w:type="dxa" w:w="2304"/>
            <w:vAlign w:val="center"/>
          </w:tcPr>
          <w:p>
            <w:pPr>
              <w:spacing w:after="0" w:line="240" w:lineRule="auto"/>
              <w:jc w:val="center"/>
            </w:pPr>
            <w:r>
              <w:rPr>
                <w:b w:val="0"/>
                <w:sz w:val="18"/>
              </w:rPr>
              <w:t>0.1226</w:t>
            </w:r>
          </w:p>
        </w:tc>
        <w:tc>
          <w:tcPr>
            <w:tcW w:type="dxa" w:w="2304"/>
            <w:vAlign w:val="center"/>
          </w:tcPr>
          <w:p>
            <w:pPr>
              <w:spacing w:after="0" w:line="240" w:lineRule="auto"/>
              <w:jc w:val="center"/>
            </w:pPr>
            <w:r>
              <w:rPr>
                <w:b w:val="0"/>
                <w:sz w:val="18"/>
              </w:rPr>
              <w:t>0.1199</w:t>
            </w:r>
          </w:p>
        </w:tc>
      </w:tr>
      <w:tr>
        <w:trPr>
          <w:cantSplit/>
        </w:trPr>
        <w:tc>
          <w:tcPr>
            <w:tcW w:type="dxa" w:w="2736"/>
            <w:vAlign w:val="center"/>
          </w:tcPr>
          <w:p>
            <w:pPr>
              <w:spacing w:after="0" w:line="240" w:lineRule="auto"/>
              <w:jc w:val="left"/>
            </w:pPr>
            <w:r>
              <w:rPr>
                <w:b w:val="0"/>
                <w:sz w:val="18"/>
              </w:rPr>
              <w:t>Un mes de 2026</w:t>
            </w:r>
          </w:p>
        </w:tc>
        <w:tc>
          <w:tcPr>
            <w:tcW w:type="dxa" w:w="2592"/>
            <w:vAlign w:val="center"/>
          </w:tcPr>
          <w:p>
            <w:pPr>
              <w:spacing w:after="0" w:line="240" w:lineRule="auto"/>
              <w:jc w:val="center"/>
            </w:pPr>
            <w:r>
              <w:rPr>
                <w:b w:val="0"/>
                <w:sz w:val="18"/>
              </w:rPr>
              <w:t>Horario</w:t>
            </w:r>
          </w:p>
        </w:tc>
        <w:tc>
          <w:tcPr>
            <w:tcW w:type="dxa" w:w="2304"/>
            <w:vAlign w:val="center"/>
          </w:tcPr>
          <w:p>
            <w:pPr>
              <w:spacing w:after="0" w:line="240" w:lineRule="auto"/>
              <w:jc w:val="center"/>
            </w:pPr>
            <w:r>
              <w:rPr>
                <w:b w:val="0"/>
                <w:sz w:val="18"/>
              </w:rPr>
              <w:t>0.0378</w:t>
            </w:r>
          </w:p>
        </w:tc>
        <w:tc>
          <w:tcPr>
            <w:tcW w:type="dxa" w:w="2304"/>
            <w:vAlign w:val="center"/>
          </w:tcPr>
          <w:p>
            <w:pPr>
              <w:spacing w:after="0" w:line="240" w:lineRule="auto"/>
              <w:jc w:val="center"/>
            </w:pPr>
            <w:r>
              <w:rPr>
                <w:b w:val="0"/>
                <w:sz w:val="18"/>
              </w:rPr>
              <w:t>0.0222</w:t>
            </w:r>
          </w:p>
        </w:tc>
      </w:tr>
      <w:tr>
        <w:trPr>
          <w:cantSplit/>
        </w:trPr>
        <w:tc>
          <w:tcPr>
            <w:tcW w:type="dxa" w:w="2736"/>
            <w:vAlign w:val="center"/>
          </w:tcPr>
          <w:p>
            <w:pPr>
              <w:spacing w:after="0" w:line="240" w:lineRule="auto"/>
              <w:jc w:val="left"/>
            </w:pPr>
            <w:r>
              <w:rPr>
                <w:b w:val="0"/>
                <w:sz w:val="18"/>
              </w:rPr>
              <w:t>Un mes de 2026</w:t>
            </w:r>
          </w:p>
        </w:tc>
        <w:tc>
          <w:tcPr>
            <w:tcW w:type="dxa" w:w="2592"/>
            <w:vAlign w:val="center"/>
          </w:tcPr>
          <w:p>
            <w:pPr>
              <w:spacing w:after="0" w:line="240" w:lineRule="auto"/>
              <w:jc w:val="center"/>
            </w:pPr>
            <w:r>
              <w:rPr>
                <w:b w:val="0"/>
                <w:sz w:val="18"/>
              </w:rPr>
              <w:t>Mensual</w:t>
            </w:r>
          </w:p>
        </w:tc>
        <w:tc>
          <w:tcPr>
            <w:tcW w:type="dxa" w:w="2304"/>
            <w:vAlign w:val="center"/>
          </w:tcPr>
          <w:p>
            <w:pPr>
              <w:spacing w:after="0" w:line="240" w:lineRule="auto"/>
              <w:jc w:val="center"/>
            </w:pPr>
            <w:r>
              <w:rPr>
                <w:b w:val="0"/>
                <w:sz w:val="18"/>
              </w:rPr>
              <w:t>0.0200</w:t>
            </w:r>
          </w:p>
        </w:tc>
        <w:tc>
          <w:tcPr>
            <w:tcW w:type="dxa" w:w="2304"/>
            <w:vAlign w:val="center"/>
          </w:tcPr>
          <w:p>
            <w:pPr>
              <w:spacing w:after="0" w:line="240" w:lineRule="auto"/>
              <w:jc w:val="center"/>
            </w:pPr>
            <w:r>
              <w:rPr>
                <w:b w:val="0"/>
                <w:sz w:val="18"/>
              </w:rPr>
              <w:t>0.0233</w:t>
            </w:r>
          </w:p>
        </w:tc>
      </w:tr>
      <w:tr>
        <w:trPr>
          <w:cantSplit/>
        </w:trPr>
        <w:tc>
          <w:tcPr>
            <w:tcW w:type="dxa" w:w="2736"/>
            <w:vAlign w:val="center"/>
          </w:tcPr>
          <w:p>
            <w:pPr>
              <w:spacing w:after="0" w:line="240" w:lineRule="auto"/>
              <w:jc w:val="left"/>
            </w:pPr>
            <w:r>
              <w:rPr>
                <w:b w:val="0"/>
                <w:sz w:val="18"/>
              </w:rPr>
              <w:t>Un mes de 2026</w:t>
            </w:r>
          </w:p>
        </w:tc>
        <w:tc>
          <w:tcPr>
            <w:tcW w:type="dxa" w:w="2592"/>
            <w:vAlign w:val="center"/>
          </w:tcPr>
          <w:p>
            <w:pPr>
              <w:spacing w:after="0" w:line="240" w:lineRule="auto"/>
              <w:jc w:val="center"/>
            </w:pPr>
            <w:r>
              <w:rPr>
                <w:b w:val="0"/>
                <w:sz w:val="18"/>
              </w:rPr>
              <w:t>Zonas</w:t>
            </w:r>
          </w:p>
        </w:tc>
        <w:tc>
          <w:tcPr>
            <w:tcW w:type="dxa" w:w="2304"/>
            <w:vAlign w:val="center"/>
          </w:tcPr>
          <w:p>
            <w:pPr>
              <w:spacing w:after="0" w:line="240" w:lineRule="auto"/>
              <w:jc w:val="center"/>
            </w:pPr>
            <w:r>
              <w:rPr>
                <w:b w:val="0"/>
                <w:sz w:val="18"/>
              </w:rPr>
              <w:t>0.0268</w:t>
            </w:r>
          </w:p>
        </w:tc>
        <w:tc>
          <w:tcPr>
            <w:tcW w:type="dxa" w:w="2304"/>
            <w:vAlign w:val="center"/>
          </w:tcPr>
          <w:p>
            <w:pPr>
              <w:spacing w:after="0" w:line="240" w:lineRule="auto"/>
              <w:jc w:val="center"/>
            </w:pPr>
            <w:r>
              <w:rPr>
                <w:b w:val="0"/>
                <w:sz w:val="18"/>
              </w:rPr>
              <w:t>0.0228</w:t>
            </w:r>
          </w:p>
        </w:tc>
      </w:tr>
      <w:tr>
        <w:trPr>
          <w:cantSplit/>
        </w:trPr>
        <w:tc>
          <w:tcPr>
            <w:tcW w:type="dxa" w:w="2736"/>
            <w:vAlign w:val="center"/>
          </w:tcPr>
          <w:p>
            <w:pPr>
              <w:spacing w:after="0" w:line="240" w:lineRule="auto"/>
              <w:jc w:val="left"/>
            </w:pPr>
            <w:r>
              <w:rPr>
                <w:b w:val="0"/>
                <w:sz w:val="18"/>
              </w:rPr>
              <w:t>2026</w:t>
            </w:r>
          </w:p>
        </w:tc>
        <w:tc>
          <w:tcPr>
            <w:tcW w:type="dxa" w:w="2592"/>
            <w:vAlign w:val="center"/>
          </w:tcPr>
          <w:p>
            <w:pPr>
              <w:spacing w:after="0" w:line="240" w:lineRule="auto"/>
              <w:jc w:val="center"/>
            </w:pPr>
            <w:r>
              <w:rPr>
                <w:b w:val="0"/>
                <w:sz w:val="18"/>
              </w:rPr>
              <w:t>Distribución</w:t>
            </w:r>
          </w:p>
        </w:tc>
        <w:tc>
          <w:tcPr>
            <w:tcW w:type="dxa" w:w="2304"/>
            <w:vAlign w:val="center"/>
          </w:tcPr>
          <w:p>
            <w:pPr>
              <w:spacing w:after="0" w:line="240" w:lineRule="auto"/>
              <w:jc w:val="center"/>
            </w:pPr>
            <w:r>
              <w:rPr>
                <w:b w:val="0"/>
                <w:sz w:val="18"/>
              </w:rPr>
              <w:t>1.4357</w:t>
            </w:r>
          </w:p>
        </w:tc>
        <w:tc>
          <w:tcPr>
            <w:tcW w:type="dxa" w:w="2304"/>
            <w:vAlign w:val="center"/>
          </w:tcPr>
          <w:p>
            <w:pPr>
              <w:spacing w:after="0" w:line="240" w:lineRule="auto"/>
              <w:jc w:val="center"/>
            </w:pPr>
            <w:r>
              <w:rPr>
                <w:b w:val="0"/>
                <w:sz w:val="18"/>
              </w:rPr>
              <w:t>1.0706</w:t>
            </w:r>
          </w:p>
        </w:tc>
      </w:tr>
      <w:tr>
        <w:trPr>
          <w:cantSplit/>
        </w:trPr>
        <w:tc>
          <w:tcPr>
            <w:tcW w:type="dxa" w:w="2736"/>
            <w:vAlign w:val="center"/>
          </w:tcPr>
          <w:p>
            <w:pPr>
              <w:spacing w:after="0" w:line="240" w:lineRule="auto"/>
              <w:jc w:val="left"/>
            </w:pPr>
            <w:r>
              <w:rPr>
                <w:b w:val="0"/>
                <w:sz w:val="18"/>
              </w:rPr>
              <w:t>2026</w:t>
            </w:r>
          </w:p>
        </w:tc>
        <w:tc>
          <w:tcPr>
            <w:tcW w:type="dxa" w:w="2592"/>
            <w:vAlign w:val="center"/>
          </w:tcPr>
          <w:p>
            <w:pPr>
              <w:spacing w:after="0" w:line="240" w:lineRule="auto"/>
              <w:jc w:val="center"/>
            </w:pPr>
            <w:r>
              <w:rPr>
                <w:b w:val="0"/>
                <w:sz w:val="18"/>
              </w:rPr>
              <w:t>Horario</w:t>
            </w:r>
          </w:p>
        </w:tc>
        <w:tc>
          <w:tcPr>
            <w:tcW w:type="dxa" w:w="2304"/>
            <w:vAlign w:val="center"/>
          </w:tcPr>
          <w:p>
            <w:pPr>
              <w:spacing w:after="0" w:line="240" w:lineRule="auto"/>
              <w:jc w:val="center"/>
            </w:pPr>
            <w:r>
              <w:rPr>
                <w:b w:val="0"/>
                <w:sz w:val="18"/>
              </w:rPr>
              <w:t>0.2531</w:t>
            </w:r>
          </w:p>
        </w:tc>
        <w:tc>
          <w:tcPr>
            <w:tcW w:type="dxa" w:w="2304"/>
            <w:vAlign w:val="center"/>
          </w:tcPr>
          <w:p>
            <w:pPr>
              <w:spacing w:after="0" w:line="240" w:lineRule="auto"/>
              <w:jc w:val="center"/>
            </w:pPr>
            <w:r>
              <w:rPr>
                <w:b w:val="0"/>
                <w:sz w:val="18"/>
              </w:rPr>
              <w:t>0.1523</w:t>
            </w:r>
          </w:p>
        </w:tc>
      </w:tr>
      <w:tr>
        <w:trPr>
          <w:cantSplit/>
        </w:trPr>
        <w:tc>
          <w:tcPr>
            <w:tcW w:type="dxa" w:w="2736"/>
            <w:vAlign w:val="center"/>
          </w:tcPr>
          <w:p>
            <w:pPr>
              <w:spacing w:after="0" w:line="240" w:lineRule="auto"/>
              <w:jc w:val="left"/>
            </w:pPr>
            <w:r>
              <w:rPr>
                <w:b w:val="0"/>
                <w:sz w:val="18"/>
              </w:rPr>
              <w:t>2026</w:t>
            </w:r>
          </w:p>
        </w:tc>
        <w:tc>
          <w:tcPr>
            <w:tcW w:type="dxa" w:w="2592"/>
            <w:vAlign w:val="center"/>
          </w:tcPr>
          <w:p>
            <w:pPr>
              <w:spacing w:after="0" w:line="240" w:lineRule="auto"/>
              <w:jc w:val="center"/>
            </w:pPr>
            <w:r>
              <w:rPr>
                <w:b w:val="0"/>
                <w:sz w:val="18"/>
              </w:rPr>
              <w:t>Mensual</w:t>
            </w:r>
          </w:p>
        </w:tc>
        <w:tc>
          <w:tcPr>
            <w:tcW w:type="dxa" w:w="2304"/>
            <w:vAlign w:val="center"/>
          </w:tcPr>
          <w:p>
            <w:pPr>
              <w:spacing w:after="0" w:line="240" w:lineRule="auto"/>
              <w:jc w:val="center"/>
            </w:pPr>
            <w:r>
              <w:rPr>
                <w:b w:val="0"/>
                <w:sz w:val="18"/>
              </w:rPr>
              <w:t>0.1242</w:t>
            </w:r>
          </w:p>
        </w:tc>
        <w:tc>
          <w:tcPr>
            <w:tcW w:type="dxa" w:w="2304"/>
            <w:vAlign w:val="center"/>
          </w:tcPr>
          <w:p>
            <w:pPr>
              <w:spacing w:after="0" w:line="240" w:lineRule="auto"/>
              <w:jc w:val="center"/>
            </w:pPr>
            <w:r>
              <w:rPr>
                <w:b w:val="0"/>
                <w:sz w:val="18"/>
              </w:rPr>
              <w:t>0.1641</w:t>
            </w:r>
          </w:p>
        </w:tc>
      </w:tr>
      <w:tr>
        <w:trPr>
          <w:cantSplit/>
        </w:trPr>
        <w:tc>
          <w:tcPr>
            <w:tcW w:type="dxa" w:w="2736"/>
            <w:vAlign w:val="center"/>
          </w:tcPr>
          <w:p>
            <w:pPr>
              <w:spacing w:after="0" w:line="240" w:lineRule="auto"/>
              <w:jc w:val="left"/>
            </w:pPr>
            <w:r>
              <w:rPr>
                <w:b w:val="0"/>
                <w:sz w:val="18"/>
              </w:rPr>
              <w:t>2026</w:t>
            </w:r>
          </w:p>
        </w:tc>
        <w:tc>
          <w:tcPr>
            <w:tcW w:type="dxa" w:w="2592"/>
            <w:vAlign w:val="center"/>
          </w:tcPr>
          <w:p>
            <w:pPr>
              <w:spacing w:after="0" w:line="240" w:lineRule="auto"/>
              <w:jc w:val="center"/>
            </w:pPr>
            <w:r>
              <w:rPr>
                <w:b w:val="0"/>
                <w:sz w:val="18"/>
              </w:rPr>
              <w:t>Zonas</w:t>
            </w:r>
          </w:p>
        </w:tc>
        <w:tc>
          <w:tcPr>
            <w:tcW w:type="dxa" w:w="2304"/>
            <w:vAlign w:val="center"/>
          </w:tcPr>
          <w:p>
            <w:pPr>
              <w:spacing w:after="0" w:line="240" w:lineRule="auto"/>
              <w:jc w:val="center"/>
            </w:pPr>
            <w:r>
              <w:rPr>
                <w:b w:val="0"/>
                <w:sz w:val="18"/>
              </w:rPr>
              <w:t>0.1940</w:t>
            </w:r>
          </w:p>
        </w:tc>
        <w:tc>
          <w:tcPr>
            <w:tcW w:type="dxa" w:w="2304"/>
            <w:vAlign w:val="center"/>
          </w:tcPr>
          <w:p>
            <w:pPr>
              <w:spacing w:after="0" w:line="240" w:lineRule="auto"/>
              <w:jc w:val="center"/>
            </w:pPr>
            <w:r>
              <w:rPr>
                <w:b w:val="0"/>
                <w:sz w:val="18"/>
              </w:rPr>
              <w:t>0.1539</w:t>
            </w:r>
          </w:p>
        </w:tc>
      </w:tr>
      <w:tr>
        <w:trPr>
          <w:cantSplit/>
        </w:trPr>
        <w:tc>
          <w:tcPr>
            <w:tcW w:type="dxa" w:w="2736"/>
            <w:vAlign w:val="center"/>
          </w:tcPr>
          <w:p>
            <w:pPr>
              <w:spacing w:after="0" w:line="240" w:lineRule="auto"/>
              <w:jc w:val="left"/>
            </w:pPr>
            <w:r>
              <w:rPr>
                <w:b w:val="0"/>
                <w:sz w:val="18"/>
              </w:rPr>
              <w:t>2024 y 2026</w:t>
            </w:r>
          </w:p>
        </w:tc>
        <w:tc>
          <w:tcPr>
            <w:tcW w:type="dxa" w:w="2592"/>
            <w:vAlign w:val="center"/>
          </w:tcPr>
          <w:p>
            <w:pPr>
              <w:spacing w:after="0" w:line="240" w:lineRule="auto"/>
              <w:jc w:val="center"/>
            </w:pPr>
            <w:r>
              <w:rPr>
                <w:b w:val="0"/>
                <w:sz w:val="18"/>
              </w:rPr>
              <w:t>Distribución</w:t>
            </w:r>
          </w:p>
        </w:tc>
        <w:tc>
          <w:tcPr>
            <w:tcW w:type="dxa" w:w="2304"/>
            <w:vAlign w:val="center"/>
          </w:tcPr>
          <w:p>
            <w:pPr>
              <w:spacing w:after="0" w:line="240" w:lineRule="auto"/>
              <w:jc w:val="center"/>
            </w:pPr>
            <w:r>
              <w:rPr>
                <w:b w:val="0"/>
                <w:sz w:val="18"/>
              </w:rPr>
              <w:t>5.0830</w:t>
            </w:r>
          </w:p>
        </w:tc>
        <w:tc>
          <w:tcPr>
            <w:tcW w:type="dxa" w:w="2304"/>
            <w:vAlign w:val="center"/>
          </w:tcPr>
          <w:p>
            <w:pPr>
              <w:spacing w:after="0" w:line="240" w:lineRule="auto"/>
              <w:jc w:val="center"/>
            </w:pPr>
            <w:r>
              <w:rPr>
                <w:b w:val="0"/>
                <w:sz w:val="18"/>
              </w:rPr>
              <w:t>4.4237</w:t>
            </w:r>
          </w:p>
        </w:tc>
      </w:tr>
      <w:tr>
        <w:trPr>
          <w:cantSplit/>
        </w:trPr>
        <w:tc>
          <w:tcPr>
            <w:tcW w:type="dxa" w:w="2736"/>
            <w:vAlign w:val="center"/>
          </w:tcPr>
          <w:p>
            <w:pPr>
              <w:spacing w:after="0" w:line="240" w:lineRule="auto"/>
              <w:jc w:val="left"/>
            </w:pPr>
            <w:r>
              <w:rPr>
                <w:b w:val="0"/>
                <w:sz w:val="18"/>
              </w:rPr>
              <w:t>2024 y 2026</w:t>
            </w:r>
          </w:p>
        </w:tc>
        <w:tc>
          <w:tcPr>
            <w:tcW w:type="dxa" w:w="2592"/>
            <w:vAlign w:val="center"/>
          </w:tcPr>
          <w:p>
            <w:pPr>
              <w:spacing w:after="0" w:line="240" w:lineRule="auto"/>
              <w:jc w:val="center"/>
            </w:pPr>
            <w:r>
              <w:rPr>
                <w:b w:val="0"/>
                <w:sz w:val="18"/>
              </w:rPr>
              <w:t>Horario</w:t>
            </w:r>
          </w:p>
        </w:tc>
        <w:tc>
          <w:tcPr>
            <w:tcW w:type="dxa" w:w="2304"/>
            <w:vAlign w:val="center"/>
          </w:tcPr>
          <w:p>
            <w:pPr>
              <w:spacing w:after="0" w:line="240" w:lineRule="auto"/>
              <w:jc w:val="center"/>
            </w:pPr>
            <w:r>
              <w:rPr>
                <w:b w:val="0"/>
                <w:sz w:val="18"/>
              </w:rPr>
              <w:t>0.6011</w:t>
            </w:r>
          </w:p>
        </w:tc>
        <w:tc>
          <w:tcPr>
            <w:tcW w:type="dxa" w:w="2304"/>
            <w:vAlign w:val="center"/>
          </w:tcPr>
          <w:p>
            <w:pPr>
              <w:spacing w:after="0" w:line="240" w:lineRule="auto"/>
              <w:jc w:val="center"/>
            </w:pPr>
            <w:r>
              <w:rPr>
                <w:b w:val="0"/>
                <w:sz w:val="18"/>
              </w:rPr>
              <w:t>0.3597</w:t>
            </w:r>
          </w:p>
        </w:tc>
      </w:tr>
      <w:tr>
        <w:trPr>
          <w:cantSplit/>
        </w:trPr>
        <w:tc>
          <w:tcPr>
            <w:tcW w:type="dxa" w:w="2736"/>
            <w:vAlign w:val="center"/>
          </w:tcPr>
          <w:p>
            <w:pPr>
              <w:spacing w:after="0" w:line="240" w:lineRule="auto"/>
              <w:jc w:val="left"/>
            </w:pPr>
            <w:r>
              <w:rPr>
                <w:b w:val="0"/>
                <w:sz w:val="18"/>
              </w:rPr>
              <w:t>2024 y 2026</w:t>
            </w:r>
          </w:p>
        </w:tc>
        <w:tc>
          <w:tcPr>
            <w:tcW w:type="dxa" w:w="2592"/>
            <w:vAlign w:val="center"/>
          </w:tcPr>
          <w:p>
            <w:pPr>
              <w:spacing w:after="0" w:line="240" w:lineRule="auto"/>
              <w:jc w:val="center"/>
            </w:pPr>
            <w:r>
              <w:rPr>
                <w:b w:val="0"/>
                <w:sz w:val="18"/>
              </w:rPr>
              <w:t>Mensual</w:t>
            </w:r>
          </w:p>
        </w:tc>
        <w:tc>
          <w:tcPr>
            <w:tcW w:type="dxa" w:w="2304"/>
            <w:vAlign w:val="center"/>
          </w:tcPr>
          <w:p>
            <w:pPr>
              <w:spacing w:after="0" w:line="240" w:lineRule="auto"/>
              <w:jc w:val="center"/>
            </w:pPr>
            <w:r>
              <w:rPr>
                <w:b w:val="0"/>
                <w:sz w:val="18"/>
              </w:rPr>
              <w:t>0.3255</w:t>
            </w:r>
          </w:p>
        </w:tc>
        <w:tc>
          <w:tcPr>
            <w:tcW w:type="dxa" w:w="2304"/>
            <w:vAlign w:val="center"/>
          </w:tcPr>
          <w:p>
            <w:pPr>
              <w:spacing w:after="0" w:line="240" w:lineRule="auto"/>
              <w:jc w:val="center"/>
            </w:pPr>
            <w:r>
              <w:rPr>
                <w:b w:val="0"/>
                <w:sz w:val="18"/>
              </w:rPr>
              <w:t>0.4111</w:t>
            </w:r>
          </w:p>
        </w:tc>
      </w:tr>
      <w:tr>
        <w:trPr>
          <w:cantSplit/>
        </w:trPr>
        <w:tc>
          <w:tcPr>
            <w:tcW w:type="dxa" w:w="2736"/>
            <w:vAlign w:val="center"/>
          </w:tcPr>
          <w:p>
            <w:pPr>
              <w:spacing w:after="0" w:line="240" w:lineRule="auto"/>
              <w:jc w:val="left"/>
            </w:pPr>
            <w:r>
              <w:rPr>
                <w:b w:val="0"/>
                <w:sz w:val="18"/>
              </w:rPr>
              <w:t>2024 y 2026</w:t>
            </w:r>
          </w:p>
        </w:tc>
        <w:tc>
          <w:tcPr>
            <w:tcW w:type="dxa" w:w="2592"/>
            <w:vAlign w:val="center"/>
          </w:tcPr>
          <w:p>
            <w:pPr>
              <w:spacing w:after="0" w:line="240" w:lineRule="auto"/>
              <w:jc w:val="center"/>
            </w:pPr>
            <w:r>
              <w:rPr>
                <w:b w:val="0"/>
                <w:sz w:val="18"/>
              </w:rPr>
              <w:t>Zonas</w:t>
            </w:r>
          </w:p>
        </w:tc>
        <w:tc>
          <w:tcPr>
            <w:tcW w:type="dxa" w:w="2304"/>
            <w:vAlign w:val="center"/>
          </w:tcPr>
          <w:p>
            <w:pPr>
              <w:spacing w:after="0" w:line="240" w:lineRule="auto"/>
              <w:jc w:val="center"/>
            </w:pPr>
            <w:r>
              <w:rPr>
                <w:b w:val="0"/>
                <w:sz w:val="18"/>
              </w:rPr>
              <w:t>0.4286</w:t>
            </w:r>
          </w:p>
        </w:tc>
        <w:tc>
          <w:tcPr>
            <w:tcW w:type="dxa" w:w="2304"/>
            <w:vAlign w:val="center"/>
          </w:tcPr>
          <w:p>
            <w:pPr>
              <w:spacing w:after="0" w:line="240" w:lineRule="auto"/>
              <w:jc w:val="center"/>
            </w:pPr>
            <w:r>
              <w:rPr>
                <w:b w:val="0"/>
                <w:sz w:val="18"/>
              </w:rPr>
              <w:t>0.3755</w:t>
            </w:r>
          </w:p>
        </w:tc>
      </w:tr>
      <w:tr>
        <w:trPr>
          <w:cantSplit/>
        </w:trPr>
        <w:tc>
          <w:tcPr>
            <w:tcW w:type="dxa" w:w="2736"/>
            <w:vAlign w:val="center"/>
          </w:tcPr>
          <w:p>
            <w:pPr>
              <w:spacing w:after="0" w:line="240" w:lineRule="auto"/>
              <w:jc w:val="left"/>
            </w:pPr>
            <w:r>
              <w:rPr>
                <w:b w:val="0"/>
                <w:sz w:val="18"/>
              </w:rPr>
              <w:t>Tres años</w:t>
            </w:r>
          </w:p>
        </w:tc>
        <w:tc>
          <w:tcPr>
            <w:tcW w:type="dxa" w:w="2592"/>
            <w:vAlign w:val="center"/>
          </w:tcPr>
          <w:p>
            <w:pPr>
              <w:spacing w:after="0" w:line="240" w:lineRule="auto"/>
              <w:jc w:val="center"/>
            </w:pPr>
            <w:r>
              <w:rPr>
                <w:b w:val="0"/>
                <w:sz w:val="18"/>
              </w:rPr>
              <w:t>Distribución</w:t>
            </w:r>
          </w:p>
        </w:tc>
        <w:tc>
          <w:tcPr>
            <w:tcW w:type="dxa" w:w="2304"/>
            <w:vAlign w:val="center"/>
          </w:tcPr>
          <w:p>
            <w:pPr>
              <w:spacing w:after="0" w:line="240" w:lineRule="auto"/>
              <w:jc w:val="center"/>
            </w:pPr>
            <w:r>
              <w:rPr>
                <w:b w:val="0"/>
                <w:sz w:val="18"/>
              </w:rPr>
              <w:t>6.7948</w:t>
            </w:r>
          </w:p>
        </w:tc>
        <w:tc>
          <w:tcPr>
            <w:tcW w:type="dxa" w:w="2304"/>
            <w:vAlign w:val="center"/>
          </w:tcPr>
          <w:p>
            <w:pPr>
              <w:spacing w:after="0" w:line="240" w:lineRule="auto"/>
              <w:jc w:val="center"/>
            </w:pPr>
            <w:r>
              <w:rPr>
                <w:b w:val="0"/>
                <w:sz w:val="18"/>
              </w:rPr>
              <w:t>7.3258</w:t>
            </w:r>
          </w:p>
        </w:tc>
      </w:tr>
      <w:tr>
        <w:trPr>
          <w:cantSplit/>
        </w:trPr>
        <w:tc>
          <w:tcPr>
            <w:tcW w:type="dxa" w:w="2736"/>
            <w:vAlign w:val="center"/>
          </w:tcPr>
          <w:p>
            <w:pPr>
              <w:spacing w:after="0" w:line="240" w:lineRule="auto"/>
              <w:jc w:val="left"/>
            </w:pPr>
            <w:r>
              <w:rPr>
                <w:b w:val="0"/>
                <w:sz w:val="18"/>
              </w:rPr>
              <w:t>Tres años</w:t>
            </w:r>
          </w:p>
        </w:tc>
        <w:tc>
          <w:tcPr>
            <w:tcW w:type="dxa" w:w="2592"/>
            <w:vAlign w:val="center"/>
          </w:tcPr>
          <w:p>
            <w:pPr>
              <w:spacing w:after="0" w:line="240" w:lineRule="auto"/>
              <w:jc w:val="center"/>
            </w:pPr>
            <w:r>
              <w:rPr>
                <w:b w:val="0"/>
                <w:sz w:val="18"/>
              </w:rPr>
              <w:t>Horario</w:t>
            </w:r>
          </w:p>
        </w:tc>
        <w:tc>
          <w:tcPr>
            <w:tcW w:type="dxa" w:w="2304"/>
            <w:vAlign w:val="center"/>
          </w:tcPr>
          <w:p>
            <w:pPr>
              <w:spacing w:after="0" w:line="240" w:lineRule="auto"/>
              <w:jc w:val="center"/>
            </w:pPr>
            <w:r>
              <w:rPr>
                <w:b w:val="0"/>
                <w:sz w:val="18"/>
              </w:rPr>
              <w:t>1.1341</w:t>
            </w:r>
          </w:p>
        </w:tc>
        <w:tc>
          <w:tcPr>
            <w:tcW w:type="dxa" w:w="2304"/>
            <w:vAlign w:val="center"/>
          </w:tcPr>
          <w:p>
            <w:pPr>
              <w:spacing w:after="0" w:line="240" w:lineRule="auto"/>
              <w:jc w:val="center"/>
            </w:pPr>
            <w:r>
              <w:rPr>
                <w:b w:val="0"/>
                <w:sz w:val="18"/>
              </w:rPr>
              <w:t>0.6592</w:t>
            </w:r>
          </w:p>
        </w:tc>
      </w:tr>
      <w:tr>
        <w:trPr>
          <w:cantSplit/>
        </w:trPr>
        <w:tc>
          <w:tcPr>
            <w:tcW w:type="dxa" w:w="2736"/>
            <w:vAlign w:val="center"/>
          </w:tcPr>
          <w:p>
            <w:pPr>
              <w:spacing w:after="0" w:line="240" w:lineRule="auto"/>
              <w:jc w:val="left"/>
            </w:pPr>
            <w:r>
              <w:rPr>
                <w:b w:val="0"/>
                <w:sz w:val="18"/>
              </w:rPr>
              <w:t>Tres años</w:t>
            </w:r>
          </w:p>
        </w:tc>
        <w:tc>
          <w:tcPr>
            <w:tcW w:type="dxa" w:w="2592"/>
            <w:vAlign w:val="center"/>
          </w:tcPr>
          <w:p>
            <w:pPr>
              <w:spacing w:after="0" w:line="240" w:lineRule="auto"/>
              <w:jc w:val="center"/>
            </w:pPr>
            <w:r>
              <w:rPr>
                <w:b w:val="0"/>
                <w:sz w:val="18"/>
              </w:rPr>
              <w:t>Mensual</w:t>
            </w:r>
          </w:p>
        </w:tc>
        <w:tc>
          <w:tcPr>
            <w:tcW w:type="dxa" w:w="2304"/>
            <w:vAlign w:val="center"/>
          </w:tcPr>
          <w:p>
            <w:pPr>
              <w:spacing w:after="0" w:line="240" w:lineRule="auto"/>
              <w:jc w:val="center"/>
            </w:pPr>
            <w:r>
              <w:rPr>
                <w:b w:val="0"/>
                <w:sz w:val="18"/>
              </w:rPr>
              <w:t>0.5018</w:t>
            </w:r>
          </w:p>
        </w:tc>
        <w:tc>
          <w:tcPr>
            <w:tcW w:type="dxa" w:w="2304"/>
            <w:vAlign w:val="center"/>
          </w:tcPr>
          <w:p>
            <w:pPr>
              <w:spacing w:after="0" w:line="240" w:lineRule="auto"/>
              <w:jc w:val="center"/>
            </w:pPr>
            <w:r>
              <w:rPr>
                <w:b w:val="0"/>
                <w:sz w:val="18"/>
              </w:rPr>
              <w:t>0.6331</w:t>
            </w:r>
          </w:p>
        </w:tc>
      </w:tr>
      <w:tr>
        <w:trPr>
          <w:cantSplit/>
        </w:trPr>
        <w:tc>
          <w:tcPr>
            <w:tcW w:type="dxa" w:w="2736"/>
            <w:vAlign w:val="center"/>
          </w:tcPr>
          <w:p>
            <w:pPr>
              <w:spacing w:after="0" w:line="240" w:lineRule="auto"/>
              <w:jc w:val="left"/>
            </w:pPr>
            <w:r>
              <w:rPr>
                <w:b w:val="0"/>
                <w:sz w:val="18"/>
              </w:rPr>
              <w:t>Tres años</w:t>
            </w:r>
          </w:p>
        </w:tc>
        <w:tc>
          <w:tcPr>
            <w:tcW w:type="dxa" w:w="2592"/>
            <w:vAlign w:val="center"/>
          </w:tcPr>
          <w:p>
            <w:pPr>
              <w:spacing w:after="0" w:line="240" w:lineRule="auto"/>
              <w:jc w:val="center"/>
            </w:pPr>
            <w:r>
              <w:rPr>
                <w:b w:val="0"/>
                <w:sz w:val="18"/>
              </w:rPr>
              <w:t>Zonas</w:t>
            </w:r>
          </w:p>
        </w:tc>
        <w:tc>
          <w:tcPr>
            <w:tcW w:type="dxa" w:w="2304"/>
            <w:vAlign w:val="center"/>
          </w:tcPr>
          <w:p>
            <w:pPr>
              <w:spacing w:after="0" w:line="240" w:lineRule="auto"/>
              <w:jc w:val="center"/>
            </w:pPr>
            <w:r>
              <w:rPr>
                <w:b w:val="0"/>
                <w:sz w:val="18"/>
              </w:rPr>
              <w:t>0.7505</w:t>
            </w:r>
          </w:p>
        </w:tc>
        <w:tc>
          <w:tcPr>
            <w:tcW w:type="dxa" w:w="2304"/>
            <w:vAlign w:val="center"/>
          </w:tcPr>
          <w:p>
            <w:pPr>
              <w:spacing w:after="0" w:line="240" w:lineRule="auto"/>
              <w:jc w:val="center"/>
            </w:pPr>
            <w:r>
              <w:rPr>
                <w:b w:val="0"/>
                <w:sz w:val="18"/>
              </w:rPr>
              <w:t>0.6275</w:t>
            </w:r>
          </w:p>
        </w:tc>
      </w:tr>
    </w:tbl>
    <w:p>
      <w:pPr>
        <w:spacing w:after="0"/>
      </w:pPr>
    </w:p>
    <w:p>
      <w:r>
        <w:t>En los tres años, la tabla mejora la consulta por hora de 1.1341 a 0.6592 segundos. La consulta mensual favorece Parquet, con 0.5018 frente a 0.6331 segundos. La suma de las cuatro consultas no ahorra tiempo al materializar en esta medición, y crear la tabla cuesta 30.891 segundos adicionales. Para esta carga completa no observamos un punto de amortización positivo.</w:t>
      </w:r>
    </w:p>
    <w:p>
      <w:pPr>
        <w:pStyle w:val="Heading1"/>
        <w:pageBreakBefore/>
      </w:pPr>
      <w:r>
        <w:t>Ejercicio 7 Preguntas e indicadores</w:t>
      </w:r>
    </w:p>
    <w:p>
      <w:r>
        <w:t>Definimos trece preguntas para orientar el análisis. Las primeras diez se presentan en el tablero Metabase mediante diez tarjetas SQL. Las restantes complementan la revisión de patrones y valores extremos.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2952"/>
        <w:gridCol w:w="2952"/>
        <w:gridCol w:w="4032"/>
      </w:tblGrid>
      <w:tr>
        <w:trPr>
          <w:tblHeader/>
          <w:cantSplit/>
        </w:trPr>
        <w:tc>
          <w:tcPr>
            <w:tcW w:type="dxa" w:w="2952"/>
            <w:vAlign w:val="center"/>
            <w:shd w:fill="EDEDED"/>
          </w:tcPr>
          <w:p>
            <w:pPr>
              <w:spacing w:after="0" w:line="240" w:lineRule="auto"/>
              <w:jc w:val="left"/>
            </w:pPr>
            <w:r>
              <w:rPr>
                <w:b/>
                <w:sz w:val="20"/>
              </w:rPr>
              <w:t>Pregunta</w:t>
            </w:r>
          </w:p>
        </w:tc>
        <w:tc>
          <w:tcPr>
            <w:tcW w:type="dxa" w:w="2952"/>
            <w:vAlign w:val="center"/>
            <w:shd w:fill="EDEDED"/>
          </w:tcPr>
          <w:p>
            <w:pPr>
              <w:spacing w:after="0" w:line="240" w:lineRule="auto"/>
              <w:jc w:val="center"/>
            </w:pPr>
            <w:r>
              <w:rPr>
                <w:b/>
                <w:sz w:val="20"/>
              </w:rPr>
              <w:t>Indicador</w:t>
            </w:r>
          </w:p>
        </w:tc>
        <w:tc>
          <w:tcPr>
            <w:tcW w:type="dxa" w:w="4032"/>
            <w:vAlign w:val="center"/>
            <w:shd w:fill="EDEDED"/>
          </w:tcPr>
          <w:p>
            <w:pPr>
              <w:spacing w:after="0" w:line="240" w:lineRule="auto"/>
              <w:jc w:val="center"/>
            </w:pPr>
            <w:r>
              <w:rPr>
                <w:b/>
                <w:sz w:val="20"/>
              </w:rPr>
              <w:t>Motivo</w:t>
            </w:r>
          </w:p>
        </w:tc>
      </w:tr>
      <w:tr>
        <w:trPr>
          <w:cantSplit/>
        </w:trPr>
        <w:tc>
          <w:tcPr>
            <w:tcW w:type="dxa" w:w="2952"/>
            <w:vAlign w:val="center"/>
          </w:tcPr>
          <w:p>
            <w:pPr>
              <w:spacing w:after="0" w:line="240" w:lineRule="auto"/>
              <w:jc w:val="left"/>
            </w:pPr>
            <w:r>
              <w:rPr>
                <w:b w:val="0"/>
                <w:sz w:val="20"/>
              </w:rPr>
              <w:t>1 Demanda mensual</w:t>
            </w:r>
          </w:p>
        </w:tc>
        <w:tc>
          <w:tcPr>
            <w:tcW w:type="dxa" w:w="2952"/>
            <w:vAlign w:val="center"/>
          </w:tcPr>
          <w:p>
            <w:pPr>
              <w:spacing w:after="0" w:line="240" w:lineRule="auto"/>
              <w:jc w:val="center"/>
            </w:pPr>
            <w:r>
              <w:rPr>
                <w:b w:val="0"/>
                <w:sz w:val="20"/>
              </w:rPr>
              <w:t>Viajes válidos por mes</w:t>
            </w:r>
          </w:p>
        </w:tc>
        <w:tc>
          <w:tcPr>
            <w:tcW w:type="dxa" w:w="4032"/>
            <w:vAlign w:val="center"/>
          </w:tcPr>
          <w:p>
            <w:pPr>
              <w:spacing w:after="0" w:line="240" w:lineRule="auto"/>
              <w:jc w:val="center"/>
            </w:pPr>
            <w:r>
              <w:rPr>
                <w:b w:val="0"/>
                <w:sz w:val="20"/>
              </w:rPr>
              <w:t>Comparar volumen y estacionalidad.</w:t>
            </w:r>
          </w:p>
        </w:tc>
      </w:tr>
      <w:tr>
        <w:trPr>
          <w:cantSplit/>
        </w:trPr>
        <w:tc>
          <w:tcPr>
            <w:tcW w:type="dxa" w:w="2952"/>
            <w:vAlign w:val="center"/>
          </w:tcPr>
          <w:p>
            <w:pPr>
              <w:spacing w:after="0" w:line="240" w:lineRule="auto"/>
              <w:jc w:val="left"/>
            </w:pPr>
            <w:r>
              <w:rPr>
                <w:b w:val="0"/>
                <w:sz w:val="20"/>
              </w:rPr>
              <w:t>2 Importe mensual</w:t>
            </w:r>
          </w:p>
        </w:tc>
        <w:tc>
          <w:tcPr>
            <w:tcW w:type="dxa" w:w="2952"/>
            <w:vAlign w:val="center"/>
          </w:tcPr>
          <w:p>
            <w:pPr>
              <w:spacing w:after="0" w:line="240" w:lineRule="auto"/>
              <w:jc w:val="center"/>
            </w:pPr>
            <w:r>
              <w:rPr>
                <w:b w:val="0"/>
                <w:sz w:val="20"/>
              </w:rPr>
              <w:t>Suma de total_amount</w:t>
            </w:r>
          </w:p>
        </w:tc>
        <w:tc>
          <w:tcPr>
            <w:tcW w:type="dxa" w:w="4032"/>
            <w:vAlign w:val="center"/>
          </w:tcPr>
          <w:p>
            <w:pPr>
              <w:spacing w:after="0" w:line="240" w:lineRule="auto"/>
              <w:jc w:val="center"/>
            </w:pPr>
            <w:r>
              <w:rPr>
                <w:b w:val="0"/>
                <w:sz w:val="20"/>
              </w:rPr>
              <w:t>Medir actividad registrada en USD.</w:t>
            </w:r>
          </w:p>
        </w:tc>
      </w:tr>
      <w:tr>
        <w:trPr>
          <w:cantSplit/>
        </w:trPr>
        <w:tc>
          <w:tcPr>
            <w:tcW w:type="dxa" w:w="2952"/>
            <w:vAlign w:val="center"/>
          </w:tcPr>
          <w:p>
            <w:pPr>
              <w:spacing w:after="0" w:line="240" w:lineRule="auto"/>
              <w:jc w:val="left"/>
            </w:pPr>
            <w:r>
              <w:rPr>
                <w:b w:val="0"/>
                <w:sz w:val="20"/>
              </w:rPr>
              <w:t>3 Importe por viaje</w:t>
            </w:r>
          </w:p>
        </w:tc>
        <w:tc>
          <w:tcPr>
            <w:tcW w:type="dxa" w:w="2952"/>
            <w:vAlign w:val="center"/>
          </w:tcPr>
          <w:p>
            <w:pPr>
              <w:spacing w:after="0" w:line="240" w:lineRule="auto"/>
              <w:jc w:val="center"/>
            </w:pPr>
            <w:r>
              <w:rPr>
                <w:b w:val="0"/>
                <w:sz w:val="20"/>
              </w:rPr>
              <w:t>Media de total_amount</w:t>
            </w:r>
          </w:p>
        </w:tc>
        <w:tc>
          <w:tcPr>
            <w:tcW w:type="dxa" w:w="4032"/>
            <w:vAlign w:val="center"/>
          </w:tcPr>
          <w:p>
            <w:pPr>
              <w:spacing w:after="0" w:line="240" w:lineRule="auto"/>
              <w:jc w:val="center"/>
            </w:pPr>
            <w:r>
              <w:rPr>
                <w:b w:val="0"/>
                <w:sz w:val="20"/>
              </w:rPr>
              <w:t>Comparar el pago medio registrado.</w:t>
            </w:r>
          </w:p>
        </w:tc>
      </w:tr>
      <w:tr>
        <w:trPr>
          <w:cantSplit/>
        </w:trPr>
        <w:tc>
          <w:tcPr>
            <w:tcW w:type="dxa" w:w="2952"/>
            <w:vAlign w:val="center"/>
          </w:tcPr>
          <w:p>
            <w:pPr>
              <w:spacing w:after="0" w:line="240" w:lineRule="auto"/>
              <w:jc w:val="left"/>
            </w:pPr>
            <w:r>
              <w:rPr>
                <w:b w:val="0"/>
                <w:sz w:val="20"/>
              </w:rPr>
              <w:t>4 Distancia típica</w:t>
            </w:r>
          </w:p>
        </w:tc>
        <w:tc>
          <w:tcPr>
            <w:tcW w:type="dxa" w:w="2952"/>
            <w:vAlign w:val="center"/>
          </w:tcPr>
          <w:p>
            <w:pPr>
              <w:spacing w:after="0" w:line="240" w:lineRule="auto"/>
              <w:jc w:val="center"/>
            </w:pPr>
            <w:r>
              <w:rPr>
                <w:b w:val="0"/>
                <w:sz w:val="20"/>
              </w:rPr>
              <w:t>Mediana en millas</w:t>
            </w:r>
          </w:p>
        </w:tc>
        <w:tc>
          <w:tcPr>
            <w:tcW w:type="dxa" w:w="4032"/>
            <w:vAlign w:val="center"/>
          </w:tcPr>
          <w:p>
            <w:pPr>
              <w:spacing w:after="0" w:line="240" w:lineRule="auto"/>
              <w:jc w:val="center"/>
            </w:pPr>
            <w:r>
              <w:rPr>
                <w:b w:val="0"/>
                <w:sz w:val="20"/>
              </w:rPr>
              <w:t>Resumir distancias con menor efecto de extremos.</w:t>
            </w:r>
          </w:p>
        </w:tc>
      </w:tr>
      <w:tr>
        <w:trPr>
          <w:cantSplit/>
        </w:trPr>
        <w:tc>
          <w:tcPr>
            <w:tcW w:type="dxa" w:w="2952"/>
            <w:vAlign w:val="center"/>
          </w:tcPr>
          <w:p>
            <w:pPr>
              <w:spacing w:after="0" w:line="240" w:lineRule="auto"/>
              <w:jc w:val="left"/>
            </w:pPr>
            <w:r>
              <w:rPr>
                <w:b w:val="0"/>
                <w:sz w:val="20"/>
              </w:rPr>
              <w:t>5 Duración típica</w:t>
            </w:r>
          </w:p>
        </w:tc>
        <w:tc>
          <w:tcPr>
            <w:tcW w:type="dxa" w:w="2952"/>
            <w:vAlign w:val="center"/>
          </w:tcPr>
          <w:p>
            <w:pPr>
              <w:spacing w:after="0" w:line="240" w:lineRule="auto"/>
              <w:jc w:val="center"/>
            </w:pPr>
            <w:r>
              <w:rPr>
                <w:b w:val="0"/>
                <w:sz w:val="20"/>
              </w:rPr>
              <w:t>Mediana en minutos</w:t>
            </w:r>
          </w:p>
        </w:tc>
        <w:tc>
          <w:tcPr>
            <w:tcW w:type="dxa" w:w="4032"/>
            <w:vAlign w:val="center"/>
          </w:tcPr>
          <w:p>
            <w:pPr>
              <w:spacing w:after="0" w:line="240" w:lineRule="auto"/>
              <w:jc w:val="center"/>
            </w:pPr>
            <w:r>
              <w:rPr>
                <w:b w:val="0"/>
                <w:sz w:val="20"/>
              </w:rPr>
              <w:t>Comparar el tiempo de los recorridos.</w:t>
            </w:r>
          </w:p>
        </w:tc>
      </w:tr>
      <w:tr>
        <w:trPr>
          <w:cantSplit/>
        </w:trPr>
        <w:tc>
          <w:tcPr>
            <w:tcW w:type="dxa" w:w="2952"/>
            <w:vAlign w:val="center"/>
          </w:tcPr>
          <w:p>
            <w:pPr>
              <w:spacing w:after="0" w:line="240" w:lineRule="auto"/>
              <w:jc w:val="left"/>
            </w:pPr>
            <w:r>
              <w:rPr>
                <w:b w:val="0"/>
                <w:sz w:val="20"/>
              </w:rPr>
              <w:t>6 Horario de actividad</w:t>
            </w:r>
          </w:p>
        </w:tc>
        <w:tc>
          <w:tcPr>
            <w:tcW w:type="dxa" w:w="2952"/>
            <w:vAlign w:val="center"/>
          </w:tcPr>
          <w:p>
            <w:pPr>
              <w:spacing w:after="0" w:line="240" w:lineRule="auto"/>
              <w:jc w:val="center"/>
            </w:pPr>
            <w:r>
              <w:rPr>
                <w:b w:val="0"/>
                <w:sz w:val="20"/>
              </w:rPr>
              <w:t>Viajes por hora</w:t>
            </w:r>
          </w:p>
        </w:tc>
        <w:tc>
          <w:tcPr>
            <w:tcW w:type="dxa" w:w="4032"/>
            <w:vAlign w:val="center"/>
          </w:tcPr>
          <w:p>
            <w:pPr>
              <w:spacing w:after="0" w:line="240" w:lineRule="auto"/>
              <w:jc w:val="center"/>
            </w:pPr>
            <w:r>
              <w:rPr>
                <w:b w:val="0"/>
                <w:sz w:val="20"/>
              </w:rPr>
              <w:t>Identificar horas con más demanda.</w:t>
            </w:r>
          </w:p>
        </w:tc>
      </w:tr>
      <w:tr>
        <w:trPr>
          <w:cantSplit/>
        </w:trPr>
        <w:tc>
          <w:tcPr>
            <w:tcW w:type="dxa" w:w="2952"/>
            <w:vAlign w:val="center"/>
          </w:tcPr>
          <w:p>
            <w:pPr>
              <w:spacing w:after="0" w:line="240" w:lineRule="auto"/>
              <w:jc w:val="left"/>
            </w:pPr>
            <w:r>
              <w:rPr>
                <w:b w:val="0"/>
                <w:sz w:val="20"/>
              </w:rPr>
              <w:t>7 Mezcla de pagos</w:t>
            </w:r>
          </w:p>
        </w:tc>
        <w:tc>
          <w:tcPr>
            <w:tcW w:type="dxa" w:w="2952"/>
            <w:vAlign w:val="center"/>
          </w:tcPr>
          <w:p>
            <w:pPr>
              <w:spacing w:after="0" w:line="240" w:lineRule="auto"/>
              <w:jc w:val="center"/>
            </w:pPr>
            <w:r>
              <w:rPr>
                <w:b w:val="0"/>
                <w:sz w:val="20"/>
              </w:rPr>
              <w:t>Porcentaje por código</w:t>
            </w:r>
          </w:p>
        </w:tc>
        <w:tc>
          <w:tcPr>
            <w:tcW w:type="dxa" w:w="4032"/>
            <w:vAlign w:val="center"/>
          </w:tcPr>
          <w:p>
            <w:pPr>
              <w:spacing w:after="0" w:line="240" w:lineRule="auto"/>
              <w:jc w:val="center"/>
            </w:pPr>
            <w:r>
              <w:rPr>
                <w:b w:val="0"/>
                <w:sz w:val="20"/>
              </w:rPr>
              <w:t>Revisar cambios de registro y medio de pago.</w:t>
            </w:r>
          </w:p>
        </w:tc>
      </w:tr>
      <w:tr>
        <w:trPr>
          <w:cantSplit/>
        </w:trPr>
        <w:tc>
          <w:tcPr>
            <w:tcW w:type="dxa" w:w="2952"/>
            <w:vAlign w:val="center"/>
          </w:tcPr>
          <w:p>
            <w:pPr>
              <w:spacing w:after="0" w:line="240" w:lineRule="auto"/>
              <w:jc w:val="left"/>
            </w:pPr>
            <w:r>
              <w:rPr>
                <w:b w:val="0"/>
                <w:sz w:val="20"/>
              </w:rPr>
              <w:t>8 Propinas en tarjeta</w:t>
            </w:r>
          </w:p>
        </w:tc>
        <w:tc>
          <w:tcPr>
            <w:tcW w:type="dxa" w:w="2952"/>
            <w:vAlign w:val="center"/>
          </w:tcPr>
          <w:p>
            <w:pPr>
              <w:spacing w:after="0" w:line="240" w:lineRule="auto"/>
              <w:jc w:val="center"/>
            </w:pPr>
            <w:r>
              <w:rPr>
                <w:b w:val="0"/>
                <w:sz w:val="20"/>
              </w:rPr>
              <w:t>Propinas sobre tarifa</w:t>
            </w:r>
          </w:p>
        </w:tc>
        <w:tc>
          <w:tcPr>
            <w:tcW w:type="dxa" w:w="4032"/>
            <w:vAlign w:val="center"/>
          </w:tcPr>
          <w:p>
            <w:pPr>
              <w:spacing w:after="0" w:line="240" w:lineRule="auto"/>
              <w:jc w:val="center"/>
            </w:pPr>
            <w:r>
              <w:rPr>
                <w:b w:val="0"/>
                <w:sz w:val="20"/>
              </w:rPr>
              <w:t>Medir propinas que sí están registradas.</w:t>
            </w:r>
          </w:p>
        </w:tc>
      </w:tr>
      <w:tr>
        <w:trPr>
          <w:cantSplit/>
        </w:trPr>
        <w:tc>
          <w:tcPr>
            <w:tcW w:type="dxa" w:w="2952"/>
            <w:vAlign w:val="center"/>
          </w:tcPr>
          <w:p>
            <w:pPr>
              <w:spacing w:after="0" w:line="240" w:lineRule="auto"/>
              <w:jc w:val="left"/>
            </w:pPr>
            <w:r>
              <w:rPr>
                <w:b w:val="0"/>
                <w:sz w:val="20"/>
              </w:rPr>
              <w:t>9 Calidad de datos</w:t>
            </w:r>
          </w:p>
        </w:tc>
        <w:tc>
          <w:tcPr>
            <w:tcW w:type="dxa" w:w="2952"/>
            <w:vAlign w:val="center"/>
          </w:tcPr>
          <w:p>
            <w:pPr>
              <w:spacing w:after="0" w:line="240" w:lineRule="auto"/>
              <w:jc w:val="center"/>
            </w:pPr>
            <w:r>
              <w:rPr>
                <w:b w:val="0"/>
                <w:sz w:val="20"/>
              </w:rPr>
              <w:t>Porcentaje excluido</w:t>
            </w:r>
          </w:p>
        </w:tc>
        <w:tc>
          <w:tcPr>
            <w:tcW w:type="dxa" w:w="4032"/>
            <w:vAlign w:val="center"/>
          </w:tcPr>
          <w:p>
            <w:pPr>
              <w:spacing w:after="0" w:line="240" w:lineRule="auto"/>
              <w:jc w:val="center"/>
            </w:pPr>
            <w:r>
              <w:rPr>
                <w:b w:val="0"/>
                <w:sz w:val="20"/>
              </w:rPr>
              <w:t>Mostrar cuánto cambia la población analizada.</w:t>
            </w:r>
          </w:p>
        </w:tc>
      </w:tr>
      <w:tr>
        <w:trPr>
          <w:cantSplit/>
        </w:trPr>
        <w:tc>
          <w:tcPr>
            <w:tcW w:type="dxa" w:w="2952"/>
            <w:vAlign w:val="center"/>
          </w:tcPr>
          <w:p>
            <w:pPr>
              <w:spacing w:after="0" w:line="240" w:lineRule="auto"/>
              <w:jc w:val="left"/>
            </w:pPr>
            <w:r>
              <w:rPr>
                <w:b w:val="0"/>
                <w:sz w:val="20"/>
              </w:rPr>
              <w:t>10 Evolución anual</w:t>
            </w:r>
          </w:p>
        </w:tc>
        <w:tc>
          <w:tcPr>
            <w:tcW w:type="dxa" w:w="2952"/>
            <w:vAlign w:val="center"/>
          </w:tcPr>
          <w:p>
            <w:pPr>
              <w:spacing w:after="0" w:line="240" w:lineRule="auto"/>
              <w:jc w:val="center"/>
            </w:pPr>
            <w:r>
              <w:rPr>
                <w:b w:val="0"/>
                <w:sz w:val="20"/>
              </w:rPr>
              <w:t>Viajes en meses comunes</w:t>
            </w:r>
          </w:p>
        </w:tc>
        <w:tc>
          <w:tcPr>
            <w:tcW w:type="dxa" w:w="4032"/>
            <w:vAlign w:val="center"/>
          </w:tcPr>
          <w:p>
            <w:pPr>
              <w:spacing w:after="0" w:line="240" w:lineRule="auto"/>
              <w:jc w:val="center"/>
            </w:pPr>
            <w:r>
              <w:rPr>
                <w:b w:val="0"/>
                <w:sz w:val="20"/>
              </w:rPr>
              <w:t>Comparar años con la misma cobertura.</w:t>
            </w:r>
          </w:p>
        </w:tc>
      </w:tr>
      <w:tr>
        <w:trPr>
          <w:cantSplit/>
        </w:trPr>
        <w:tc>
          <w:tcPr>
            <w:tcW w:type="dxa" w:w="2952"/>
            <w:vAlign w:val="center"/>
          </w:tcPr>
          <w:p>
            <w:pPr>
              <w:spacing w:after="0" w:line="240" w:lineRule="auto"/>
              <w:jc w:val="left"/>
            </w:pPr>
            <w:r>
              <w:rPr>
                <w:b w:val="0"/>
                <w:sz w:val="20"/>
              </w:rPr>
              <w:t>11 Día de semana</w:t>
            </w:r>
          </w:p>
        </w:tc>
        <w:tc>
          <w:tcPr>
            <w:tcW w:type="dxa" w:w="2952"/>
            <w:vAlign w:val="center"/>
          </w:tcPr>
          <w:p>
            <w:pPr>
              <w:spacing w:after="0" w:line="240" w:lineRule="auto"/>
              <w:jc w:val="center"/>
            </w:pPr>
            <w:r>
              <w:rPr>
                <w:b w:val="0"/>
                <w:sz w:val="20"/>
              </w:rPr>
              <w:t>Viajes por día observado</w:t>
            </w:r>
          </w:p>
        </w:tc>
        <w:tc>
          <w:tcPr>
            <w:tcW w:type="dxa" w:w="4032"/>
            <w:vAlign w:val="center"/>
          </w:tcPr>
          <w:p>
            <w:pPr>
              <w:spacing w:after="0" w:line="240" w:lineRule="auto"/>
              <w:jc w:val="center"/>
            </w:pPr>
            <w:r>
              <w:rPr>
                <w:b w:val="0"/>
                <w:sz w:val="20"/>
              </w:rPr>
              <w:t>Ajustar por la cantidad de cada día de semana.</w:t>
            </w:r>
          </w:p>
        </w:tc>
      </w:tr>
      <w:tr>
        <w:trPr>
          <w:cantSplit/>
        </w:trPr>
        <w:tc>
          <w:tcPr>
            <w:tcW w:type="dxa" w:w="2952"/>
            <w:vAlign w:val="center"/>
          </w:tcPr>
          <w:p>
            <w:pPr>
              <w:spacing w:after="0" w:line="240" w:lineRule="auto"/>
              <w:jc w:val="left"/>
            </w:pPr>
            <w:r>
              <w:rPr>
                <w:b w:val="0"/>
                <w:sz w:val="20"/>
              </w:rPr>
              <w:t>12 Distribuciones</w:t>
            </w:r>
          </w:p>
        </w:tc>
        <w:tc>
          <w:tcPr>
            <w:tcW w:type="dxa" w:w="2952"/>
            <w:vAlign w:val="center"/>
          </w:tcPr>
          <w:p>
            <w:pPr>
              <w:spacing w:after="0" w:line="240" w:lineRule="auto"/>
              <w:jc w:val="center"/>
            </w:pPr>
            <w:r>
              <w:rPr>
                <w:b w:val="0"/>
                <w:sz w:val="20"/>
              </w:rPr>
              <w:t>Bandas y cuantiles</w:t>
            </w:r>
          </w:p>
        </w:tc>
        <w:tc>
          <w:tcPr>
            <w:tcW w:type="dxa" w:w="4032"/>
            <w:vAlign w:val="center"/>
          </w:tcPr>
          <w:p>
            <w:pPr>
              <w:spacing w:after="0" w:line="240" w:lineRule="auto"/>
              <w:jc w:val="center"/>
            </w:pPr>
            <w:r>
              <w:rPr>
                <w:b w:val="0"/>
                <w:sz w:val="20"/>
              </w:rPr>
              <w:t>Revisar colas y cambios de composición.</w:t>
            </w:r>
          </w:p>
        </w:tc>
      </w:tr>
      <w:tr>
        <w:trPr>
          <w:cantSplit/>
        </w:trPr>
        <w:tc>
          <w:tcPr>
            <w:tcW w:type="dxa" w:w="2952"/>
            <w:vAlign w:val="center"/>
          </w:tcPr>
          <w:p>
            <w:pPr>
              <w:spacing w:after="0" w:line="240" w:lineRule="auto"/>
              <w:jc w:val="left"/>
            </w:pPr>
            <w:r>
              <w:rPr>
                <w:b w:val="0"/>
                <w:sz w:val="20"/>
              </w:rPr>
              <w:t>13 Valores extremos</w:t>
            </w:r>
          </w:p>
        </w:tc>
        <w:tc>
          <w:tcPr>
            <w:tcW w:type="dxa" w:w="2952"/>
            <w:vAlign w:val="center"/>
          </w:tcPr>
          <w:p>
            <w:pPr>
              <w:spacing w:after="0" w:line="240" w:lineRule="auto"/>
              <w:jc w:val="center"/>
            </w:pPr>
            <w:r>
              <w:rPr>
                <w:b w:val="0"/>
                <w:sz w:val="20"/>
              </w:rPr>
              <w:t>Veinte importes mayores</w:t>
            </w:r>
          </w:p>
        </w:tc>
        <w:tc>
          <w:tcPr>
            <w:tcW w:type="dxa" w:w="4032"/>
            <w:vAlign w:val="center"/>
          </w:tcPr>
          <w:p>
            <w:pPr>
              <w:spacing w:after="0" w:line="240" w:lineRule="auto"/>
              <w:jc w:val="center"/>
            </w:pPr>
            <w:r>
              <w:rPr>
                <w:b w:val="0"/>
                <w:sz w:val="20"/>
              </w:rPr>
              <w:t>Revisar casos sin corregirlos automáticamente.</w:t>
            </w:r>
          </w:p>
        </w:tc>
      </w:tr>
    </w:tbl>
    <w:p>
      <w:pPr>
        <w:spacing w:after="0"/>
      </w:pPr>
    </w:p>
    <w:p>
      <w:r>
        <w:t>El tablero usa un archivo DuckDB con agregados, separado de la base del benchmark y abierto en modo de solo lectura. Así las tarjetas consultan resultados pequeños. El script setup_metabase.py crea o actualiza las diez visualizaciones y comprueba sus consultas. El registro de tarjetas y SQL queda en docs/dashboard.json.</w:t>
      </w:r>
    </w:p>
    <w:p>
      <w:r>
        <w:t>El tablero verificado está disponible localmente en http://localhost:3000/dashboard/2. Los identificadores pueden cambiar en otra instalación. La captura del tablero real se encuentra en docs/tablero.md y las consultas están en sql/dashboard. El color dorado representa yellow y el verde representa green. Se distinguen sus escalas para poder observar ambos servicios.</w:t>
      </w:r>
    </w:p>
    <w:p>
      <w:r>
        <w:t>El importe total no equivale a beneficio del conductor. Las propinas en efectivo no están registradas. El código de pago 0 corresponde a viajes Flex Fare y no identifica un instrumento de pago, por lo que una caída del código 1 no demuestra un aumento del efectivo.</w:t>
      </w:r>
    </w:p>
    <w:p>
      <w:pPr>
        <w:pStyle w:val="Heading1"/>
        <w:pageBreakBefore/>
      </w:pPr>
      <w:r>
        <w:t>Resultados de los indicadores</w:t>
      </w:r>
    </w:p>
    <w:p>
      <w:r>
        <w:t>Los gráficos resumen los tres años. Los indicadores mensuales usan los viajes que cumplen las reglas de calidad. El gráfico de calidad usa todas las filas originales. El año 2026 es parcial.</w:t>
      </w:r>
    </w:p>
    <w:p>
      <w:pPr>
        <w:spacing w:after="60"/>
      </w:pPr>
      <w:r>
        <w:drawing>
          <wp:inline xmlns:a="http://schemas.openxmlformats.org/drawingml/2006/main" xmlns:pic="http://schemas.openxmlformats.org/drawingml/2006/picture">
            <wp:extent cx="6309360" cy="4556760"/>
            <wp:docPr id="1" name="Picture 1"/>
            <wp:cNvGraphicFramePr>
              <a:graphicFrameLocks noChangeAspect="1"/>
            </wp:cNvGraphicFramePr>
            <a:graphic>
              <a:graphicData uri="http://schemas.openxmlformats.org/drawingml/2006/picture">
                <pic:pic>
                  <pic:nvPicPr>
                    <pic:cNvPr id="0" name="indicadores.png"/>
                    <pic:cNvPicPr/>
                  </pic:nvPicPr>
                  <pic:blipFill>
                    <a:blip r:embed="rId10"/>
                    <a:stretch>
                      <a:fillRect/>
                    </a:stretch>
                  </pic:blipFill>
                  <pic:spPr>
                    <a:xfrm>
                      <a:off x="0" y="0"/>
                      <a:ext cx="6309360" cy="4556760"/>
                    </a:xfrm>
                    <a:prstGeom prst="rect"/>
                  </pic:spPr>
                </pic:pic>
              </a:graphicData>
            </a:graphic>
          </wp:inline>
        </w:drawing>
      </w:r>
    </w:p>
    <w:p>
      <w:pPr>
        <w:pStyle w:val="Caption"/>
      </w:pPr>
      <w:r>
        <w:t>Figura 1 Indicadores calculados con DuckDB y graficados con Matplotlib</w:t>
      </w:r>
    </w:p>
    <w:p>
      <w:r>
        <w:t>Para dar una referencia concreta, estos son los resultados de agosto de 2026, el último mes de la descarga.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5040"/>
        <w:gridCol w:w="2448"/>
        <w:gridCol w:w="2448"/>
      </w:tblGrid>
      <w:tr>
        <w:trPr>
          <w:tblHeader/>
          <w:cantSplit/>
        </w:trPr>
        <w:tc>
          <w:tcPr>
            <w:tcW w:type="dxa" w:w="5040"/>
            <w:vAlign w:val="center"/>
            <w:shd w:fill="EDEDED"/>
          </w:tcPr>
          <w:p>
            <w:pPr>
              <w:spacing w:after="0" w:line="240" w:lineRule="auto"/>
              <w:jc w:val="left"/>
            </w:pPr>
            <w:r>
              <w:rPr>
                <w:b/>
                <w:sz w:val="18"/>
              </w:rPr>
              <w:t>Indicador de agosto de 2026</w:t>
            </w:r>
          </w:p>
        </w:tc>
        <w:tc>
          <w:tcPr>
            <w:tcW w:type="dxa" w:w="2448"/>
            <w:vAlign w:val="center"/>
            <w:shd w:fill="EDEDED"/>
          </w:tcPr>
          <w:p>
            <w:pPr>
              <w:spacing w:after="0" w:line="240" w:lineRule="auto"/>
              <w:jc w:val="center"/>
            </w:pPr>
            <w:r>
              <w:rPr>
                <w:b/>
                <w:sz w:val="18"/>
              </w:rPr>
              <w:t>Amarillo</w:t>
            </w:r>
          </w:p>
        </w:tc>
        <w:tc>
          <w:tcPr>
            <w:tcW w:type="dxa" w:w="2448"/>
            <w:vAlign w:val="center"/>
            <w:shd w:fill="EDEDED"/>
          </w:tcPr>
          <w:p>
            <w:pPr>
              <w:spacing w:after="0" w:line="240" w:lineRule="auto"/>
              <w:jc w:val="center"/>
            </w:pPr>
            <w:r>
              <w:rPr>
                <w:b/>
                <w:sz w:val="18"/>
              </w:rPr>
              <w:t>Verde</w:t>
            </w:r>
          </w:p>
        </w:tc>
      </w:tr>
      <w:tr>
        <w:trPr>
          <w:cantSplit/>
        </w:trPr>
        <w:tc>
          <w:tcPr>
            <w:tcW w:type="dxa" w:w="5040"/>
            <w:vAlign w:val="center"/>
          </w:tcPr>
          <w:p>
            <w:pPr>
              <w:spacing w:after="0" w:line="240" w:lineRule="auto"/>
              <w:jc w:val="left"/>
            </w:pPr>
            <w:r>
              <w:rPr>
                <w:b w:val="0"/>
                <w:sz w:val="18"/>
              </w:rPr>
              <w:t>Viajes válidos</w:t>
            </w:r>
          </w:p>
        </w:tc>
        <w:tc>
          <w:tcPr>
            <w:tcW w:type="dxa" w:w="2448"/>
            <w:vAlign w:val="center"/>
          </w:tcPr>
          <w:p>
            <w:pPr>
              <w:spacing w:after="0" w:line="240" w:lineRule="auto"/>
              <w:jc w:val="center"/>
            </w:pPr>
            <w:r>
              <w:rPr>
                <w:b w:val="0"/>
                <w:sz w:val="18"/>
              </w:rPr>
              <w:t>3,162,287</w:t>
            </w:r>
          </w:p>
        </w:tc>
        <w:tc>
          <w:tcPr>
            <w:tcW w:type="dxa" w:w="2448"/>
            <w:vAlign w:val="center"/>
          </w:tcPr>
          <w:p>
            <w:pPr>
              <w:spacing w:after="0" w:line="240" w:lineRule="auto"/>
              <w:jc w:val="center"/>
            </w:pPr>
            <w:r>
              <w:rPr>
                <w:b w:val="0"/>
                <w:sz w:val="18"/>
              </w:rPr>
              <w:t>38,151</w:t>
            </w:r>
          </w:p>
        </w:tc>
      </w:tr>
      <w:tr>
        <w:trPr>
          <w:cantSplit/>
        </w:trPr>
        <w:tc>
          <w:tcPr>
            <w:tcW w:type="dxa" w:w="5040"/>
            <w:vAlign w:val="center"/>
          </w:tcPr>
          <w:p>
            <w:pPr>
              <w:spacing w:after="0" w:line="240" w:lineRule="auto"/>
              <w:jc w:val="left"/>
            </w:pPr>
            <w:r>
              <w:rPr>
                <w:b w:val="0"/>
                <w:sz w:val="18"/>
              </w:rPr>
              <w:t>Importe registrado en USD</w:t>
            </w:r>
          </w:p>
        </w:tc>
        <w:tc>
          <w:tcPr>
            <w:tcW w:type="dxa" w:w="2448"/>
            <w:vAlign w:val="center"/>
          </w:tcPr>
          <w:p>
            <w:pPr>
              <w:spacing w:after="0" w:line="240" w:lineRule="auto"/>
              <w:jc w:val="center"/>
            </w:pPr>
            <w:r>
              <w:rPr>
                <w:b w:val="0"/>
                <w:sz w:val="18"/>
              </w:rPr>
              <w:t>95,342,533.20</w:t>
            </w:r>
          </w:p>
        </w:tc>
        <w:tc>
          <w:tcPr>
            <w:tcW w:type="dxa" w:w="2448"/>
            <w:vAlign w:val="center"/>
          </w:tcPr>
          <w:p>
            <w:pPr>
              <w:spacing w:after="0" w:line="240" w:lineRule="auto"/>
              <w:jc w:val="center"/>
            </w:pPr>
            <w:r>
              <w:rPr>
                <w:b w:val="0"/>
                <w:sz w:val="18"/>
              </w:rPr>
              <w:t>1,006,178.37</w:t>
            </w:r>
          </w:p>
        </w:tc>
      </w:tr>
      <w:tr>
        <w:trPr>
          <w:cantSplit/>
        </w:trPr>
        <w:tc>
          <w:tcPr>
            <w:tcW w:type="dxa" w:w="5040"/>
            <w:vAlign w:val="center"/>
          </w:tcPr>
          <w:p>
            <w:pPr>
              <w:spacing w:after="0" w:line="240" w:lineRule="auto"/>
              <w:jc w:val="left"/>
            </w:pPr>
            <w:r>
              <w:rPr>
                <w:b w:val="0"/>
                <w:sz w:val="18"/>
              </w:rPr>
              <w:t>Importe medio en USD</w:t>
            </w:r>
          </w:p>
        </w:tc>
        <w:tc>
          <w:tcPr>
            <w:tcW w:type="dxa" w:w="2448"/>
            <w:vAlign w:val="center"/>
          </w:tcPr>
          <w:p>
            <w:pPr>
              <w:spacing w:after="0" w:line="240" w:lineRule="auto"/>
              <w:jc w:val="center"/>
            </w:pPr>
            <w:r>
              <w:rPr>
                <w:b w:val="0"/>
                <w:sz w:val="18"/>
              </w:rPr>
              <w:t>30.15</w:t>
            </w:r>
          </w:p>
        </w:tc>
        <w:tc>
          <w:tcPr>
            <w:tcW w:type="dxa" w:w="2448"/>
            <w:vAlign w:val="center"/>
          </w:tcPr>
          <w:p>
            <w:pPr>
              <w:spacing w:after="0" w:line="240" w:lineRule="auto"/>
              <w:jc w:val="center"/>
            </w:pPr>
            <w:r>
              <w:rPr>
                <w:b w:val="0"/>
                <w:sz w:val="18"/>
              </w:rPr>
              <w:t>26.37</w:t>
            </w:r>
          </w:p>
        </w:tc>
      </w:tr>
      <w:tr>
        <w:trPr>
          <w:cantSplit/>
        </w:trPr>
        <w:tc>
          <w:tcPr>
            <w:tcW w:type="dxa" w:w="5040"/>
            <w:vAlign w:val="center"/>
          </w:tcPr>
          <w:p>
            <w:pPr>
              <w:spacing w:after="0" w:line="240" w:lineRule="auto"/>
              <w:jc w:val="left"/>
            </w:pPr>
            <w:r>
              <w:rPr>
                <w:b w:val="0"/>
                <w:sz w:val="18"/>
              </w:rPr>
              <w:t>Distancia mediana en millas</w:t>
            </w:r>
          </w:p>
        </w:tc>
        <w:tc>
          <w:tcPr>
            <w:tcW w:type="dxa" w:w="2448"/>
            <w:vAlign w:val="center"/>
          </w:tcPr>
          <w:p>
            <w:pPr>
              <w:spacing w:after="0" w:line="240" w:lineRule="auto"/>
              <w:jc w:val="center"/>
            </w:pPr>
            <w:r>
              <w:rPr>
                <w:b w:val="0"/>
                <w:sz w:val="18"/>
              </w:rPr>
              <w:t>2.09</w:t>
            </w:r>
          </w:p>
        </w:tc>
        <w:tc>
          <w:tcPr>
            <w:tcW w:type="dxa" w:w="2448"/>
            <w:vAlign w:val="center"/>
          </w:tcPr>
          <w:p>
            <w:pPr>
              <w:spacing w:after="0" w:line="240" w:lineRule="auto"/>
              <w:jc w:val="center"/>
            </w:pPr>
            <w:r>
              <w:rPr>
                <w:b w:val="0"/>
                <w:sz w:val="18"/>
              </w:rPr>
              <w:t>2.24</w:t>
            </w:r>
          </w:p>
        </w:tc>
      </w:tr>
      <w:tr>
        <w:trPr>
          <w:cantSplit/>
        </w:trPr>
        <w:tc>
          <w:tcPr>
            <w:tcW w:type="dxa" w:w="5040"/>
            <w:vAlign w:val="center"/>
          </w:tcPr>
          <w:p>
            <w:pPr>
              <w:spacing w:after="0" w:line="240" w:lineRule="auto"/>
              <w:jc w:val="left"/>
            </w:pPr>
            <w:r>
              <w:rPr>
                <w:b w:val="0"/>
                <w:sz w:val="18"/>
              </w:rPr>
              <w:t>Duración mediana en minutos</w:t>
            </w:r>
          </w:p>
        </w:tc>
        <w:tc>
          <w:tcPr>
            <w:tcW w:type="dxa" w:w="2448"/>
            <w:vAlign w:val="center"/>
          </w:tcPr>
          <w:p>
            <w:pPr>
              <w:spacing w:after="0" w:line="240" w:lineRule="auto"/>
              <w:jc w:val="center"/>
            </w:pPr>
            <w:r>
              <w:rPr>
                <w:b w:val="0"/>
                <w:sz w:val="18"/>
              </w:rPr>
              <w:t>14.33</w:t>
            </w:r>
          </w:p>
        </w:tc>
        <w:tc>
          <w:tcPr>
            <w:tcW w:type="dxa" w:w="2448"/>
            <w:vAlign w:val="center"/>
          </w:tcPr>
          <w:p>
            <w:pPr>
              <w:spacing w:after="0" w:line="240" w:lineRule="auto"/>
              <w:jc w:val="center"/>
            </w:pPr>
            <w:r>
              <w:rPr>
                <w:b w:val="0"/>
                <w:sz w:val="18"/>
              </w:rPr>
              <w:t>13.17</w:t>
            </w:r>
          </w:p>
        </w:tc>
      </w:tr>
      <w:tr>
        <w:trPr>
          <w:cantSplit/>
        </w:trPr>
        <w:tc>
          <w:tcPr>
            <w:tcW w:type="dxa" w:w="5040"/>
            <w:vAlign w:val="center"/>
          </w:tcPr>
          <w:p>
            <w:pPr>
              <w:spacing w:after="0" w:line="240" w:lineRule="auto"/>
              <w:jc w:val="left"/>
            </w:pPr>
            <w:r>
              <w:rPr>
                <w:b w:val="0"/>
                <w:sz w:val="18"/>
              </w:rPr>
              <w:t>Código tarjeta en porcentaje</w:t>
            </w:r>
          </w:p>
        </w:tc>
        <w:tc>
          <w:tcPr>
            <w:tcW w:type="dxa" w:w="2448"/>
            <w:vAlign w:val="center"/>
          </w:tcPr>
          <w:p>
            <w:pPr>
              <w:spacing w:after="0" w:line="240" w:lineRule="auto"/>
              <w:jc w:val="center"/>
            </w:pPr>
            <w:r>
              <w:rPr>
                <w:b w:val="0"/>
                <w:sz w:val="18"/>
              </w:rPr>
              <w:t>63.09</w:t>
            </w:r>
          </w:p>
        </w:tc>
        <w:tc>
          <w:tcPr>
            <w:tcW w:type="dxa" w:w="2448"/>
            <w:vAlign w:val="center"/>
          </w:tcPr>
          <w:p>
            <w:pPr>
              <w:spacing w:after="0" w:line="240" w:lineRule="auto"/>
              <w:jc w:val="center"/>
            </w:pPr>
            <w:r>
              <w:rPr>
                <w:b w:val="0"/>
                <w:sz w:val="18"/>
              </w:rPr>
              <w:t>65.50</w:t>
            </w:r>
          </w:p>
        </w:tc>
      </w:tr>
      <w:tr>
        <w:trPr>
          <w:cantSplit/>
        </w:trPr>
        <w:tc>
          <w:tcPr>
            <w:tcW w:type="dxa" w:w="5040"/>
            <w:vAlign w:val="center"/>
          </w:tcPr>
          <w:p>
            <w:pPr>
              <w:spacing w:after="0" w:line="240" w:lineRule="auto"/>
              <w:jc w:val="left"/>
            </w:pPr>
            <w:r>
              <w:rPr>
                <w:b w:val="0"/>
                <w:sz w:val="18"/>
              </w:rPr>
              <w:t>Propina sobre tarifa en tarjeta en porcentaje</w:t>
            </w:r>
          </w:p>
        </w:tc>
        <w:tc>
          <w:tcPr>
            <w:tcW w:type="dxa" w:w="2448"/>
            <w:vAlign w:val="center"/>
          </w:tcPr>
          <w:p>
            <w:pPr>
              <w:spacing w:after="0" w:line="240" w:lineRule="auto"/>
              <w:jc w:val="center"/>
            </w:pPr>
            <w:r>
              <w:rPr>
                <w:b w:val="0"/>
                <w:sz w:val="18"/>
              </w:rPr>
              <w:t>22.02</w:t>
            </w:r>
          </w:p>
        </w:tc>
        <w:tc>
          <w:tcPr>
            <w:tcW w:type="dxa" w:w="2448"/>
            <w:vAlign w:val="center"/>
          </w:tcPr>
          <w:p>
            <w:pPr>
              <w:spacing w:after="0" w:line="240" w:lineRule="auto"/>
              <w:jc w:val="center"/>
            </w:pPr>
            <w:r>
              <w:rPr>
                <w:b w:val="0"/>
                <w:sz w:val="18"/>
              </w:rPr>
              <w:t>20.39</w:t>
            </w:r>
          </w:p>
        </w:tc>
      </w:tr>
    </w:tbl>
    <w:p>
      <w:pPr>
        <w:spacing w:after="0"/>
      </w:pPr>
    </w:p>
    <w:p>
      <w:r>
        <w:t>En ese mes, los taxis amarillos registraron mucho más volumen e importe total. Los verdes tuvieron una distancia mediana algo mayor y una duración mediana menor. Estas diferencias describen los viajes observados y pueden reflejar recorridos y zonas distintos.</w:t>
      </w:r>
    </w:p>
    <w:p>
      <w:pPr>
        <w:pStyle w:val="Heading1"/>
        <w:pageBreakBefore/>
      </w:pPr>
      <w:r>
        <w:t>Ejercicio 8 Incorporación de 2025 y evolución</w:t>
      </w:r>
    </w:p>
    <w:p>
      <w:r>
        <w:t>Añadimos 24 archivos de 2025 sin descargar nuevamente 2024 ni 2026. El conjunto final tiene 64 archivos y 121,184,384 registros. Se ejecutaron las mismas consultas y se actualizó el tablero. Para comparar años usamos enero a agosto, porque son los meses presentes en los tres años.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75" w:type="dxa"/>
          <w:bottom w:w="75" w:type="dxa"/>
          <w:right w:w="75" w:type="dxa"/>
        </w:tblCellMar>
      </w:tblPr>
      <w:tblGrid>
        <w:gridCol w:w="1440"/>
        <w:gridCol w:w="936"/>
        <w:gridCol w:w="2376"/>
        <w:gridCol w:w="1656"/>
        <w:gridCol w:w="1800"/>
        <w:gridCol w:w="1728"/>
      </w:tblGrid>
      <w:tr>
        <w:trPr>
          <w:tblHeader/>
          <w:cantSplit/>
        </w:trPr>
        <w:tc>
          <w:tcPr>
            <w:tcW w:type="dxa" w:w="1440"/>
            <w:vAlign w:val="center"/>
            <w:shd w:fill="EDEDED"/>
          </w:tcPr>
          <w:p>
            <w:pPr>
              <w:spacing w:after="0" w:line="240" w:lineRule="auto"/>
              <w:jc w:val="left"/>
            </w:pPr>
            <w:r>
              <w:rPr>
                <w:b/>
                <w:sz w:val="18"/>
              </w:rPr>
              <w:t>Taxi</w:t>
            </w:r>
          </w:p>
        </w:tc>
        <w:tc>
          <w:tcPr>
            <w:tcW w:type="dxa" w:w="936"/>
            <w:vAlign w:val="center"/>
            <w:shd w:fill="EDEDED"/>
          </w:tcPr>
          <w:p>
            <w:pPr>
              <w:spacing w:after="0" w:line="240" w:lineRule="auto"/>
              <w:jc w:val="center"/>
            </w:pPr>
            <w:r>
              <w:rPr>
                <w:b/>
                <w:sz w:val="18"/>
              </w:rPr>
              <w:t>Año</w:t>
            </w:r>
          </w:p>
        </w:tc>
        <w:tc>
          <w:tcPr>
            <w:tcW w:type="dxa" w:w="2376"/>
            <w:vAlign w:val="center"/>
            <w:shd w:fill="EDEDED"/>
          </w:tcPr>
          <w:p>
            <w:pPr>
              <w:spacing w:after="0" w:line="240" w:lineRule="auto"/>
              <w:jc w:val="center"/>
            </w:pPr>
            <w:r>
              <w:rPr>
                <w:b/>
                <w:sz w:val="18"/>
              </w:rPr>
              <w:t>Viajes válidos</w:t>
            </w:r>
          </w:p>
        </w:tc>
        <w:tc>
          <w:tcPr>
            <w:tcW w:type="dxa" w:w="1656"/>
            <w:vAlign w:val="center"/>
            <w:shd w:fill="EDEDED"/>
          </w:tcPr>
          <w:p>
            <w:pPr>
              <w:spacing w:after="0" w:line="240" w:lineRule="auto"/>
              <w:jc w:val="center"/>
            </w:pPr>
            <w:r>
              <w:rPr>
                <w:b/>
                <w:sz w:val="18"/>
              </w:rPr>
              <w:t>Media USD</w:t>
            </w:r>
          </w:p>
        </w:tc>
        <w:tc>
          <w:tcPr>
            <w:tcW w:type="dxa" w:w="1800"/>
            <w:vAlign w:val="center"/>
            <w:shd w:fill="EDEDED"/>
          </w:tcPr>
          <w:p>
            <w:pPr>
              <w:spacing w:after="0" w:line="240" w:lineRule="auto"/>
              <w:jc w:val="center"/>
            </w:pPr>
            <w:r>
              <w:rPr>
                <w:b/>
                <w:sz w:val="18"/>
              </w:rPr>
              <w:t>Minutos medios</w:t>
            </w:r>
          </w:p>
        </w:tc>
        <w:tc>
          <w:tcPr>
            <w:tcW w:type="dxa" w:w="1728"/>
            <w:vAlign w:val="center"/>
            <w:shd w:fill="EDEDED"/>
          </w:tcPr>
          <w:p>
            <w:pPr>
              <w:spacing w:after="0" w:line="240" w:lineRule="auto"/>
              <w:jc w:val="center"/>
            </w:pPr>
            <w:r>
              <w:rPr>
                <w:b/>
                <w:sz w:val="18"/>
              </w:rPr>
              <w:t>Tarjeta %</w:t>
            </w:r>
          </w:p>
        </w:tc>
      </w:tr>
      <w:tr>
        <w:trPr>
          <w:cantSplit/>
        </w:trPr>
        <w:tc>
          <w:tcPr>
            <w:tcW w:type="dxa" w:w="1440"/>
            <w:vAlign w:val="center"/>
          </w:tcPr>
          <w:p>
            <w:pPr>
              <w:spacing w:after="0" w:line="240" w:lineRule="auto"/>
              <w:jc w:val="left"/>
            </w:pPr>
            <w:r>
              <w:rPr>
                <w:b w:val="0"/>
                <w:sz w:val="18"/>
              </w:rPr>
              <w:t>Amarillo</w:t>
            </w:r>
          </w:p>
        </w:tc>
        <w:tc>
          <w:tcPr>
            <w:tcW w:type="dxa" w:w="936"/>
            <w:vAlign w:val="center"/>
          </w:tcPr>
          <w:p>
            <w:pPr>
              <w:spacing w:after="0" w:line="240" w:lineRule="auto"/>
              <w:jc w:val="center"/>
            </w:pPr>
            <w:r>
              <w:rPr>
                <w:b w:val="0"/>
                <w:sz w:val="18"/>
              </w:rPr>
              <w:t>2024</w:t>
            </w:r>
          </w:p>
        </w:tc>
        <w:tc>
          <w:tcPr>
            <w:tcW w:type="dxa" w:w="2376"/>
            <w:vAlign w:val="center"/>
          </w:tcPr>
          <w:p>
            <w:pPr>
              <w:spacing w:after="0" w:line="240" w:lineRule="auto"/>
              <w:jc w:val="center"/>
            </w:pPr>
            <w:r>
              <w:rPr>
                <w:b w:val="0"/>
                <w:sz w:val="18"/>
              </w:rPr>
              <w:t>25,492,745</w:t>
            </w:r>
          </w:p>
        </w:tc>
        <w:tc>
          <w:tcPr>
            <w:tcW w:type="dxa" w:w="1656"/>
            <w:vAlign w:val="center"/>
          </w:tcPr>
          <w:p>
            <w:pPr>
              <w:spacing w:after="0" w:line="240" w:lineRule="auto"/>
              <w:jc w:val="center"/>
            </w:pPr>
            <w:r>
              <w:rPr>
                <w:b w:val="0"/>
                <w:sz w:val="18"/>
              </w:rPr>
              <w:t>28.32</w:t>
            </w:r>
          </w:p>
        </w:tc>
        <w:tc>
          <w:tcPr>
            <w:tcW w:type="dxa" w:w="1800"/>
            <w:vAlign w:val="center"/>
          </w:tcPr>
          <w:p>
            <w:pPr>
              <w:spacing w:after="0" w:line="240" w:lineRule="auto"/>
              <w:jc w:val="center"/>
            </w:pPr>
            <w:r>
              <w:rPr>
                <w:b w:val="0"/>
                <w:sz w:val="18"/>
              </w:rPr>
              <w:t>16.39</w:t>
            </w:r>
          </w:p>
        </w:tc>
        <w:tc>
          <w:tcPr>
            <w:tcW w:type="dxa" w:w="1728"/>
            <w:vAlign w:val="center"/>
          </w:tcPr>
          <w:p>
            <w:pPr>
              <w:spacing w:after="0" w:line="240" w:lineRule="auto"/>
              <w:jc w:val="center"/>
            </w:pPr>
            <w:r>
              <w:rPr>
                <w:b w:val="0"/>
                <w:sz w:val="18"/>
              </w:rPr>
              <w:t>75.94</w:t>
            </w:r>
          </w:p>
        </w:tc>
      </w:tr>
      <w:tr>
        <w:trPr>
          <w:cantSplit/>
        </w:trPr>
        <w:tc>
          <w:tcPr>
            <w:tcW w:type="dxa" w:w="1440"/>
            <w:vAlign w:val="center"/>
          </w:tcPr>
          <w:p>
            <w:pPr>
              <w:spacing w:after="0" w:line="240" w:lineRule="auto"/>
              <w:jc w:val="left"/>
            </w:pPr>
            <w:r>
              <w:rPr>
                <w:b w:val="0"/>
                <w:sz w:val="18"/>
              </w:rPr>
              <w:t>Amarillo</w:t>
            </w:r>
          </w:p>
        </w:tc>
        <w:tc>
          <w:tcPr>
            <w:tcW w:type="dxa" w:w="936"/>
            <w:vAlign w:val="center"/>
          </w:tcPr>
          <w:p>
            <w:pPr>
              <w:spacing w:after="0" w:line="240" w:lineRule="auto"/>
              <w:jc w:val="center"/>
            </w:pPr>
            <w:r>
              <w:rPr>
                <w:b w:val="0"/>
                <w:sz w:val="18"/>
              </w:rPr>
              <w:t>2025</w:t>
            </w:r>
          </w:p>
        </w:tc>
        <w:tc>
          <w:tcPr>
            <w:tcW w:type="dxa" w:w="2376"/>
            <w:vAlign w:val="center"/>
          </w:tcPr>
          <w:p>
            <w:pPr>
              <w:spacing w:after="0" w:line="240" w:lineRule="auto"/>
              <w:jc w:val="center"/>
            </w:pPr>
            <w:r>
              <w:rPr>
                <w:b w:val="0"/>
                <w:sz w:val="18"/>
              </w:rPr>
              <w:t>28,683,362</w:t>
            </w:r>
          </w:p>
        </w:tc>
        <w:tc>
          <w:tcPr>
            <w:tcW w:type="dxa" w:w="1656"/>
            <w:vAlign w:val="center"/>
          </w:tcPr>
          <w:p>
            <w:pPr>
              <w:spacing w:after="0" w:line="240" w:lineRule="auto"/>
              <w:jc w:val="center"/>
            </w:pPr>
            <w:r>
              <w:rPr>
                <w:b w:val="0"/>
                <w:sz w:val="18"/>
              </w:rPr>
              <w:t>28.38</w:t>
            </w:r>
          </w:p>
        </w:tc>
        <w:tc>
          <w:tcPr>
            <w:tcW w:type="dxa" w:w="1800"/>
            <w:vAlign w:val="center"/>
          </w:tcPr>
          <w:p>
            <w:pPr>
              <w:spacing w:after="0" w:line="240" w:lineRule="auto"/>
              <w:jc w:val="center"/>
            </w:pPr>
            <w:r>
              <w:rPr>
                <w:b w:val="0"/>
                <w:sz w:val="18"/>
              </w:rPr>
              <w:t>16.46</w:t>
            </w:r>
          </w:p>
        </w:tc>
        <w:tc>
          <w:tcPr>
            <w:tcW w:type="dxa" w:w="1728"/>
            <w:vAlign w:val="center"/>
          </w:tcPr>
          <w:p>
            <w:pPr>
              <w:spacing w:after="0" w:line="240" w:lineRule="auto"/>
              <w:jc w:val="center"/>
            </w:pPr>
            <w:r>
              <w:rPr>
                <w:b w:val="0"/>
                <w:sz w:val="18"/>
              </w:rPr>
              <w:t>68.73</w:t>
            </w:r>
          </w:p>
        </w:tc>
      </w:tr>
      <w:tr>
        <w:trPr>
          <w:cantSplit/>
        </w:trPr>
        <w:tc>
          <w:tcPr>
            <w:tcW w:type="dxa" w:w="1440"/>
            <w:vAlign w:val="center"/>
          </w:tcPr>
          <w:p>
            <w:pPr>
              <w:spacing w:after="0" w:line="240" w:lineRule="auto"/>
              <w:jc w:val="left"/>
            </w:pPr>
            <w:r>
              <w:rPr>
                <w:b w:val="0"/>
                <w:sz w:val="18"/>
              </w:rPr>
              <w:t>Amarillo</w:t>
            </w:r>
          </w:p>
        </w:tc>
        <w:tc>
          <w:tcPr>
            <w:tcW w:type="dxa" w:w="936"/>
            <w:vAlign w:val="center"/>
          </w:tcPr>
          <w:p>
            <w:pPr>
              <w:spacing w:after="0" w:line="240" w:lineRule="auto"/>
              <w:jc w:val="center"/>
            </w:pPr>
            <w:r>
              <w:rPr>
                <w:b w:val="0"/>
                <w:sz w:val="18"/>
              </w:rPr>
              <w:t>2026</w:t>
            </w:r>
          </w:p>
        </w:tc>
        <w:tc>
          <w:tcPr>
            <w:tcW w:type="dxa" w:w="2376"/>
            <w:vAlign w:val="center"/>
          </w:tcPr>
          <w:p>
            <w:pPr>
              <w:spacing w:after="0" w:line="240" w:lineRule="auto"/>
              <w:jc w:val="center"/>
            </w:pPr>
            <w:r>
              <w:rPr>
                <w:b w:val="0"/>
                <w:sz w:val="18"/>
              </w:rPr>
              <w:t>28,219,350</w:t>
            </w:r>
          </w:p>
        </w:tc>
        <w:tc>
          <w:tcPr>
            <w:tcW w:type="dxa" w:w="1656"/>
            <w:vAlign w:val="center"/>
          </w:tcPr>
          <w:p>
            <w:pPr>
              <w:spacing w:after="0" w:line="240" w:lineRule="auto"/>
              <w:jc w:val="center"/>
            </w:pPr>
            <w:r>
              <w:rPr>
                <w:b w:val="0"/>
                <w:sz w:val="18"/>
              </w:rPr>
              <w:t>30.24</w:t>
            </w:r>
          </w:p>
        </w:tc>
        <w:tc>
          <w:tcPr>
            <w:tcW w:type="dxa" w:w="1800"/>
            <w:vAlign w:val="center"/>
          </w:tcPr>
          <w:p>
            <w:pPr>
              <w:spacing w:after="0" w:line="240" w:lineRule="auto"/>
              <w:jc w:val="center"/>
            </w:pPr>
            <w:r>
              <w:rPr>
                <w:b w:val="0"/>
                <w:sz w:val="18"/>
              </w:rPr>
              <w:t>17.66</w:t>
            </w:r>
          </w:p>
        </w:tc>
        <w:tc>
          <w:tcPr>
            <w:tcW w:type="dxa" w:w="1728"/>
            <w:vAlign w:val="center"/>
          </w:tcPr>
          <w:p>
            <w:pPr>
              <w:spacing w:after="0" w:line="240" w:lineRule="auto"/>
              <w:jc w:val="center"/>
            </w:pPr>
            <w:r>
              <w:rPr>
                <w:b w:val="0"/>
                <w:sz w:val="18"/>
              </w:rPr>
              <w:t>65.40</w:t>
            </w:r>
          </w:p>
        </w:tc>
      </w:tr>
      <w:tr>
        <w:trPr>
          <w:cantSplit/>
        </w:trPr>
        <w:tc>
          <w:tcPr>
            <w:tcW w:type="dxa" w:w="1440"/>
            <w:vAlign w:val="center"/>
          </w:tcPr>
          <w:p>
            <w:pPr>
              <w:spacing w:after="0" w:line="240" w:lineRule="auto"/>
              <w:jc w:val="left"/>
            </w:pPr>
            <w:r>
              <w:rPr>
                <w:b w:val="0"/>
                <w:sz w:val="18"/>
              </w:rPr>
              <w:t>Verde</w:t>
            </w:r>
          </w:p>
        </w:tc>
        <w:tc>
          <w:tcPr>
            <w:tcW w:type="dxa" w:w="936"/>
            <w:vAlign w:val="center"/>
          </w:tcPr>
          <w:p>
            <w:pPr>
              <w:spacing w:after="0" w:line="240" w:lineRule="auto"/>
              <w:jc w:val="center"/>
            </w:pPr>
            <w:r>
              <w:rPr>
                <w:b w:val="0"/>
                <w:sz w:val="18"/>
              </w:rPr>
              <w:t>2024</w:t>
            </w:r>
          </w:p>
        </w:tc>
        <w:tc>
          <w:tcPr>
            <w:tcW w:type="dxa" w:w="2376"/>
            <w:vAlign w:val="center"/>
          </w:tcPr>
          <w:p>
            <w:pPr>
              <w:spacing w:after="0" w:line="240" w:lineRule="auto"/>
              <w:jc w:val="center"/>
            </w:pPr>
            <w:r>
              <w:rPr>
                <w:b w:val="0"/>
                <w:sz w:val="18"/>
              </w:rPr>
              <w:t>416,778</w:t>
            </w:r>
          </w:p>
        </w:tc>
        <w:tc>
          <w:tcPr>
            <w:tcW w:type="dxa" w:w="1656"/>
            <w:vAlign w:val="center"/>
          </w:tcPr>
          <w:p>
            <w:pPr>
              <w:spacing w:after="0" w:line="240" w:lineRule="auto"/>
              <w:jc w:val="center"/>
            </w:pPr>
            <w:r>
              <w:rPr>
                <w:b w:val="0"/>
                <w:sz w:val="18"/>
              </w:rPr>
              <w:t>23.74</w:t>
            </w:r>
          </w:p>
        </w:tc>
        <w:tc>
          <w:tcPr>
            <w:tcW w:type="dxa" w:w="1800"/>
            <w:vAlign w:val="center"/>
          </w:tcPr>
          <w:p>
            <w:pPr>
              <w:spacing w:after="0" w:line="240" w:lineRule="auto"/>
              <w:jc w:val="center"/>
            </w:pPr>
            <w:r>
              <w:rPr>
                <w:b w:val="0"/>
                <w:sz w:val="18"/>
              </w:rPr>
              <w:t>14.42</w:t>
            </w:r>
          </w:p>
        </w:tc>
        <w:tc>
          <w:tcPr>
            <w:tcW w:type="dxa" w:w="1728"/>
            <w:vAlign w:val="center"/>
          </w:tcPr>
          <w:p>
            <w:pPr>
              <w:spacing w:after="0" w:line="240" w:lineRule="auto"/>
              <w:jc w:val="center"/>
            </w:pPr>
            <w:r>
              <w:rPr>
                <w:b w:val="0"/>
                <w:sz w:val="18"/>
              </w:rPr>
              <w:t>67.80</w:t>
            </w:r>
          </w:p>
        </w:tc>
      </w:tr>
      <w:tr>
        <w:trPr>
          <w:cantSplit/>
        </w:trPr>
        <w:tc>
          <w:tcPr>
            <w:tcW w:type="dxa" w:w="1440"/>
            <w:vAlign w:val="center"/>
          </w:tcPr>
          <w:p>
            <w:pPr>
              <w:spacing w:after="0" w:line="240" w:lineRule="auto"/>
              <w:jc w:val="left"/>
            </w:pPr>
            <w:r>
              <w:rPr>
                <w:b w:val="0"/>
                <w:sz w:val="18"/>
              </w:rPr>
              <w:t>Verde</w:t>
            </w:r>
          </w:p>
        </w:tc>
        <w:tc>
          <w:tcPr>
            <w:tcW w:type="dxa" w:w="936"/>
            <w:vAlign w:val="center"/>
          </w:tcPr>
          <w:p>
            <w:pPr>
              <w:spacing w:after="0" w:line="240" w:lineRule="auto"/>
              <w:jc w:val="center"/>
            </w:pPr>
            <w:r>
              <w:rPr>
                <w:b w:val="0"/>
                <w:sz w:val="18"/>
              </w:rPr>
              <w:t>2025</w:t>
            </w:r>
          </w:p>
        </w:tc>
        <w:tc>
          <w:tcPr>
            <w:tcW w:type="dxa" w:w="2376"/>
            <w:vAlign w:val="center"/>
          </w:tcPr>
          <w:p>
            <w:pPr>
              <w:spacing w:after="0" w:line="240" w:lineRule="auto"/>
              <w:jc w:val="center"/>
            </w:pPr>
            <w:r>
              <w:rPr>
                <w:b w:val="0"/>
                <w:sz w:val="18"/>
              </w:rPr>
              <w:t>374,124</w:t>
            </w:r>
          </w:p>
        </w:tc>
        <w:tc>
          <w:tcPr>
            <w:tcW w:type="dxa" w:w="1656"/>
            <w:vAlign w:val="center"/>
          </w:tcPr>
          <w:p>
            <w:pPr>
              <w:spacing w:after="0" w:line="240" w:lineRule="auto"/>
              <w:jc w:val="center"/>
            </w:pPr>
            <w:r>
              <w:rPr>
                <w:b w:val="0"/>
                <w:sz w:val="18"/>
              </w:rPr>
              <w:t>24.83</w:t>
            </w:r>
          </w:p>
        </w:tc>
        <w:tc>
          <w:tcPr>
            <w:tcW w:type="dxa" w:w="1800"/>
            <w:vAlign w:val="center"/>
          </w:tcPr>
          <w:p>
            <w:pPr>
              <w:spacing w:after="0" w:line="240" w:lineRule="auto"/>
              <w:jc w:val="center"/>
            </w:pPr>
            <w:r>
              <w:rPr>
                <w:b w:val="0"/>
                <w:sz w:val="18"/>
              </w:rPr>
              <w:t>15.25</w:t>
            </w:r>
          </w:p>
        </w:tc>
        <w:tc>
          <w:tcPr>
            <w:tcW w:type="dxa" w:w="1728"/>
            <w:vAlign w:val="center"/>
          </w:tcPr>
          <w:p>
            <w:pPr>
              <w:spacing w:after="0" w:line="240" w:lineRule="auto"/>
              <w:jc w:val="center"/>
            </w:pPr>
            <w:r>
              <w:rPr>
                <w:b w:val="0"/>
                <w:sz w:val="18"/>
              </w:rPr>
              <w:t>69.76</w:t>
            </w:r>
          </w:p>
        </w:tc>
      </w:tr>
      <w:tr>
        <w:trPr>
          <w:cantSplit/>
        </w:trPr>
        <w:tc>
          <w:tcPr>
            <w:tcW w:type="dxa" w:w="1440"/>
            <w:vAlign w:val="center"/>
          </w:tcPr>
          <w:p>
            <w:pPr>
              <w:spacing w:after="0" w:line="240" w:lineRule="auto"/>
              <w:jc w:val="left"/>
            </w:pPr>
            <w:r>
              <w:rPr>
                <w:b w:val="0"/>
                <w:sz w:val="18"/>
              </w:rPr>
              <w:t>Verde</w:t>
            </w:r>
          </w:p>
        </w:tc>
        <w:tc>
          <w:tcPr>
            <w:tcW w:type="dxa" w:w="936"/>
            <w:vAlign w:val="center"/>
          </w:tcPr>
          <w:p>
            <w:pPr>
              <w:spacing w:after="0" w:line="240" w:lineRule="auto"/>
              <w:jc w:val="center"/>
            </w:pPr>
            <w:r>
              <w:rPr>
                <w:b w:val="0"/>
                <w:sz w:val="18"/>
              </w:rPr>
              <w:t>2026</w:t>
            </w:r>
          </w:p>
        </w:tc>
        <w:tc>
          <w:tcPr>
            <w:tcW w:type="dxa" w:w="2376"/>
            <w:vAlign w:val="center"/>
          </w:tcPr>
          <w:p>
            <w:pPr>
              <w:spacing w:after="0" w:line="240" w:lineRule="auto"/>
              <w:jc w:val="center"/>
            </w:pPr>
            <w:r>
              <w:rPr>
                <w:b w:val="0"/>
                <w:sz w:val="18"/>
              </w:rPr>
              <w:t>317,814</w:t>
            </w:r>
          </w:p>
        </w:tc>
        <w:tc>
          <w:tcPr>
            <w:tcW w:type="dxa" w:w="1656"/>
            <w:vAlign w:val="center"/>
          </w:tcPr>
          <w:p>
            <w:pPr>
              <w:spacing w:after="0" w:line="240" w:lineRule="auto"/>
              <w:jc w:val="center"/>
            </w:pPr>
            <w:r>
              <w:rPr>
                <w:b w:val="0"/>
                <w:sz w:val="18"/>
              </w:rPr>
              <w:t>25.35</w:t>
            </w:r>
          </w:p>
        </w:tc>
        <w:tc>
          <w:tcPr>
            <w:tcW w:type="dxa" w:w="1800"/>
            <w:vAlign w:val="center"/>
          </w:tcPr>
          <w:p>
            <w:pPr>
              <w:spacing w:after="0" w:line="240" w:lineRule="auto"/>
              <w:jc w:val="center"/>
            </w:pPr>
            <w:r>
              <w:rPr>
                <w:b w:val="0"/>
                <w:sz w:val="18"/>
              </w:rPr>
              <w:t>16.85</w:t>
            </w:r>
          </w:p>
        </w:tc>
        <w:tc>
          <w:tcPr>
            <w:tcW w:type="dxa" w:w="1728"/>
            <w:vAlign w:val="center"/>
          </w:tcPr>
          <w:p>
            <w:pPr>
              <w:spacing w:after="0" w:line="240" w:lineRule="auto"/>
              <w:jc w:val="center"/>
            </w:pPr>
            <w:r>
              <w:rPr>
                <w:b w:val="0"/>
                <w:sz w:val="18"/>
              </w:rPr>
              <w:t>66.58</w:t>
            </w:r>
          </w:p>
        </w:tc>
      </w:tr>
    </w:tbl>
    <w:p>
      <w:pPr>
        <w:spacing w:after="0"/>
      </w:pPr>
    </w:p>
    <w:p>
      <w:r>
        <w:t>La demanda amarilla aumentó 12.52% entre 2024 y 2025 y disminuyó 1.62% entre 2025 y 2026. La demanda verde cayó 10.23% y luego 15.05%. Estas variaciones corresponden a los mismos ocho meses, sin extrapolar al resto de 2026.</w:t>
      </w:r>
    </w:p>
    <w:p>
      <w:r>
        <w:t>El importe medio amarillo pasó de USD 28.32 en 2024 a USD 30.24 en 2026, un aumento de 6.77%. En green pasó de USD 23.74 a USD 25.35, un aumento de 6.78%. Los importes son nominales y no se ajustaron por inflación. Los cambios de recorrido, cargos y composición también pueden influir.</w:t>
      </w:r>
    </w:p>
    <w:p>
      <w:pPr>
        <w:spacing w:after="60"/>
      </w:pPr>
      <w:r>
        <w:drawing>
          <wp:inline xmlns:a="http://schemas.openxmlformats.org/drawingml/2006/main" xmlns:pic="http://schemas.openxmlformats.org/drawingml/2006/picture">
            <wp:extent cx="6309360" cy="1941342"/>
            <wp:docPr id="2" name="Picture 2"/>
            <wp:cNvGraphicFramePr>
              <a:graphicFrameLocks noChangeAspect="1"/>
            </wp:cNvGraphicFramePr>
            <a:graphic>
              <a:graphicData uri="http://schemas.openxmlformats.org/drawingml/2006/picture">
                <pic:pic>
                  <pic:nvPicPr>
                    <pic:cNvPr id="0" name="perfil_horario.png"/>
                    <pic:cNvPicPr/>
                  </pic:nvPicPr>
                  <pic:blipFill>
                    <a:blip r:embed="rId11"/>
                    <a:stretch>
                      <a:fillRect/>
                    </a:stretch>
                  </pic:blipFill>
                  <pic:spPr>
                    <a:xfrm>
                      <a:off x="0" y="0"/>
                      <a:ext cx="6309360" cy="1941342"/>
                    </a:xfrm>
                    <a:prstGeom prst="rect"/>
                  </pic:spPr>
                </pic:pic>
              </a:graphicData>
            </a:graphic>
          </wp:inline>
        </w:drawing>
      </w:r>
    </w:p>
    <w:p>
      <w:pPr>
        <w:pStyle w:val="Caption"/>
      </w:pPr>
      <w:r>
        <w:t>Figura 2 Distribución de viajes por hora según tipo de taxi y año</w:t>
      </w:r>
    </w:p>
    <w:p>
      <w:r>
        <w:t>El perfil horario se expresa como porcentaje para comparar años con distinta cobertura. Al agregar todo el período, la hora con más viajes es 18:00 para amarillo y 17:00 para verde. Los patrones por hora son descriptivos y no prueban una causa del cambio de demanda.</w:t>
      </w:r>
    </w:p>
    <w:p>
      <w:r>
        <w:t>En el conjunto final se excluyen 7,638,333 filas, el 6.30% del total. Hay 1,290 fechas incoherentes o ausentes y 23,542,797 filas sin número de pasajeros. Los resultados principales corresponden a la población filtrada. cbd_congestion_fee aparece desde 2025 y se conserva como NULL en 2024. El cambio del ticket no permite atribuir un efecto causal a ese recargo.</w:t>
      </w:r>
    </w:p>
    <w:p>
      <w:pPr>
        <w:pStyle w:val="Heading1"/>
        <w:pageBreakBefore/>
      </w:pPr>
      <w:r>
        <w:t>Ejercicio 9 Discusión</w:t>
      </w:r>
    </w:p>
    <w:p>
      <w:pPr>
        <w:pStyle w:val="Heading2"/>
      </w:pPr>
      <w:r>
        <w:t>1 Características útiles de DuckDB</w:t>
      </w:r>
    </w:p>
    <w:p>
      <w:r>
        <w:t>La lectura directa de Parquet permitió empezar el análisis sin una importación previa. Usamos agrupaciones, ventanas y cuantiles con SQL. union_by_name ayudó a combinar esquemas distintos. DuckDB se ejecuta dentro del proceso y evita administrar un servidor de base de datos para estas consultas.</w:t>
      </w:r>
    </w:p>
    <w:p>
      <w:pPr>
        <w:pStyle w:val="Heading2"/>
      </w:pPr>
      <w:r>
        <w:t>2 Ventajas y límites de Parquet</w:t>
      </w:r>
    </w:p>
    <w:p>
      <w:r>
        <w:t>Parquet conserva los datos originales y evita mantener otra copia completa. DuckDB puede leer solo las columnas necesarias y aprovechar filtros. Hay que administrar rutas, particiones y cambios de esquema. Las consultas repetidas pueden volver a decodificar columnas. COUNT puede usar metadatos, por lo que el benchmark incluye operaciones más exigentes.</w:t>
      </w:r>
    </w:p>
    <w:p>
      <w:pPr>
        <w:pStyle w:val="Heading2"/>
      </w:pPr>
      <w:r>
        <w:t>3 Ventajas y límites de materializar</w:t>
      </w:r>
    </w:p>
    <w:p>
      <w:r>
        <w:t>Una tabla ofrece una copia normalizada estable y puede acelerar consultas repetidas. En este equipo mejoró el perfil horario, pero no la consulta mensual. La creación cuesta tiempo y espacio, y la tabla necesita actualizarse cuando llegan archivos nuevos. Para Metabase usamos otro archivo con agregados y conexión de solo lectura para evitar conflictos con el análisis.</w:t>
      </w:r>
    </w:p>
    <w:p>
      <w:pPr>
        <w:pStyle w:val="Heading2"/>
      </w:pPr>
      <w:r>
        <w:t>4 Comparación con Pandas</w:t>
      </w:r>
    </w:p>
    <w:p>
      <w:r>
        <w:t>DuckDB filtra y agrega antes de enviar resultados a un DataFrame. Esto evita cargar los 121 millones de registros completos en Pandas. También puede usar disco temporal cuando la memoria no alcanza. En este laboratorio Pandas recibió tablas pequeñas. No medimos una comparación de velocidad contra Pandas, así que no podemos afirmar que siempre sea más rápido.</w:t>
      </w:r>
    </w:p>
    <w:p>
      <w:pPr>
        <w:pStyle w:val="Heading2"/>
      </w:pPr>
      <w:r>
        <w:t>5 Incorporación de archivos nuevos</w:t>
      </w:r>
    </w:p>
    <w:p>
      <w:r>
        <w:t>Los años y meses son parámetros. El descargador descubre enlaces oficiales, valida los archivos existentes y descarga los que faltan. Las consultas no contienen una lista fija de meses. Al ejecutar el análisis se reconstruyen las vistas. Las tablas materializadas y el archivo del tablero se regeneran de forma explícita.</w:t>
      </w:r>
    </w:p>
    <w:p>
      <w:pPr>
        <w:pStyle w:val="Heading2"/>
      </w:pPr>
      <w:r>
        <w:t>6 Uso en producción</w:t>
      </w:r>
    </w:p>
    <w:p>
      <w:r>
        <w:t>Automatizaríamos la consulta del catálogo, las descargas, la validación y la ejecución del análisis. Guardaríamos manifiestos y versiones de entradas, con alertas ante cambios de esquema o conteos inusuales. El refresco del tablero debe coordinarse con sus lectores. También se necesitan reintentos, registro de errores y controles de resultados.</w:t>
      </w:r>
    </w:p>
    <w:p>
      <w:pPr>
        <w:pStyle w:val="Heading2"/>
      </w:pPr>
      <w:r>
        <w:t>7 Reproducibilidad</w:t>
      </w:r>
    </w:p>
    <w:p>
      <w:r>
        <w:t>La entrega incluye Docker, versiones directas fijadas, SQL, reglas de calidad, hashes, manifiestos por etapa y el entorno del benchmark. Las rutas dependen de la carpeta del proyecto. Los datos completos y las credenciales quedan fuera de Git. Las imágenes base, dependencias transitivas y archivos remotos pueden cambiar, por lo que no prometemos una reproducción idéntica byte por byte.</w:t>
      </w:r>
    </w:p>
    <w:p>
      <w:pPr>
        <w:pStyle w:val="Heading2"/>
      </w:pPr>
      <w:r>
        <w:t>8 Aprendizaje al aumentar la escala</w:t>
      </w:r>
    </w:p>
    <w:p>
      <w:r>
        <w:t>Al trabajar con millones de filas fue necesario separar datos y código, controlar el espacio en disco y reducir las columnas antes de enviar resultados a Python. También se hicieron visibles fechas anómalas y cambios de esquema. El resultado de una muestra pequeña o de una sola consulta no basta para decidir si conviene materializar todo el conjunto.</w:t>
      </w:r>
    </w:p>
    <w:p>
      <w:pPr>
        <w:pStyle w:val="Heading1"/>
        <w:pageBreakBefore/>
      </w:pPr>
      <w:r>
        <w:t>Verificación y reproducción</w:t>
      </w:r>
    </w:p>
    <w:p>
      <w:r>
        <w:t>La verificación registrada terminó correctamente. Comprobó los 64 hashes, la conservación de archivos entre etapas, las 96 mediciones equivalentes, las diez tarjetas con datos y el notebook ejecutado. Las cuatro pruebas del descargador cubren archivos existentes, archivos corruptos, Parquet vacíos y descargas interrumpidas.</w:t>
      </w:r>
    </w:p>
    <w:p>
      <w:r>
        <w:t>El README contiene todos los comandos. El flujo principal desde una copia del repositorio es el siguiente. Las descargas completas requieren varios GB libres. Antes de configurar Metabase hay que esperar a que su comprobación de salud responda correctamente.</w:t>
      </w:r>
    </w:p>
    <w:p>
      <w:pPr>
        <w:spacing w:line="240" w:lineRule="auto"/>
      </w:pPr>
      <w:r>
        <w:rPr>
          <w:rFonts w:ascii="Courier New" w:hAnsi="Courier New"/>
          <w:sz w:val="17"/>
        </w:rPr>
        <w:t>git clone https://github.com/iancumes/Lab8DataScience.git</w:t>
        <w:br/>
        <w:t>cd Lab8DataScience</w:t>
        <w:br/>
        <w:t>touch .env</w:t>
        <w:br/>
        <w:t>docker compose up -d --build</w:t>
        <w:br/>
        <w:t>docker compose exec lab python scripts/run_pipeline.py</w:t>
        <w:br/>
        <w:t>docker compose exec lab python scripts/create_notebook.py</w:t>
        <w:br/>
        <w:t>curl -f http://localhost:3000/api/health</w:t>
        <w:br/>
        <w:t>docker compose exec lab python scripts/setup_metabase.py \</w:t>
        <w:br/>
        <w:t xml:space="preserve">  --url http://metabase:3000</w:t>
        <w:br/>
        <w:t>docker compose exec lab python scripts/download_data.py \</w:t>
        <w:br/>
        <w:t xml:space="preserve">  --years 2024 2025 2026 --manifest docs/manifests/rerun.json</w:t>
        <w:br/>
        <w:t>docker compose exec lab python scripts/verify.py</w:t>
      </w:r>
    </w:p>
    <w:p>
      <w:r>
        <w:t>La configuración inicial de Metabase guarda el acceso local en .env. Ese archivo está excluido de Git. El tablero se consulta en el puerto 3000 y JupyterLab en el puerto 8888. Los CSV y el notebook guardados permiten revisar esta ejecución sin descargar de inmediato todos los datos.</w:t>
      </w:r>
    </w:p>
    <w:p>
      <w:pPr>
        <w:pStyle w:val="Heading1"/>
      </w:pPr>
      <w:r>
        <w:t>Referencias</w:t>
      </w:r>
    </w:p>
    <w:p>
      <w:r>
        <w:t>Repositorio base: https://github.com/menene/duckdb</w:t>
      </w:r>
    </w:p>
    <w:p>
      <w:r>
        <w:t>NYC TLC, catálogo y notas de calidad: https://www.nyc.gov/site/tlc/about/tlc-trip-record-data.page</w:t>
      </w:r>
    </w:p>
    <w:p>
      <w:r>
        <w:t>Diccionario yellow: https://www.nyc.gov/assets/tlc/downloads/pdf/data_dictionary_trip_records_yellow.pdf</w:t>
      </w:r>
    </w:p>
    <w:p>
      <w:r>
        <w:t>Diccionario green: https://www.nyc.gov/assets/tlc/downloads/pdf/data_dictionary_trip_records_green.pdf</w:t>
      </w:r>
    </w:p>
    <w:p>
      <w:r>
        <w:t>DuckDB, Parquet: https://duckdb.org/docs/stable/data/parquet/overview</w:t>
      </w:r>
    </w:p>
    <w:p>
      <w:r>
        <w:t>DuckDB, concurrencia: https://duckdb.org/docs/stable/connect/concurrency</w:t>
      </w:r>
    </w:p>
    <w:p>
      <w:r>
        <w:t>Driver para Metabase: https://github.com/motherduckdb/metabase_duckdb_driver</w:t>
      </w:r>
    </w:p>
    <w:p>
      <w:r>
        <w:t>Enunciado del curso: Lab_8___DuckDB.pdf. Resultados de la ejecución del 8 de octubre de 2026 en docs/results, docs/manifests y docs/benchmarks.</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8 DuckDB</dc:title>
  <dc:subject>Análisis de viajes de taxis de Nueva York</dc:subject>
  <dc:creator>Javier Valladares, 23045; Ian Cumes, 23236; Javier Cifuentes, 23079</dc:creator>
  <cp:keywords/>
  <dc:description/>
  <cp:lastModifiedBy/>
  <cp:revision>1</cp:revision>
  <dcterms:created xsi:type="dcterms:W3CDTF">2013-12-23T23:15:00Z</dcterms:created>
  <dcterms:modified xsi:type="dcterms:W3CDTF">2013-12-23T23:15:00Z</dcterms:modified>
  <cp:category/>
</cp:coreProperties>
</file>