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Cell-Ontology-derived hierarchy that takes the accelerator out of the build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five-way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r>
        <w:tc>
          <w:tcPr/>
          <w:p>
            <w:pPr>
              <w:pStyle w:val="Compact"/>
            </w:pPr>
            <w:r>
              <w:rPr>
                <w:b/>
                <w:bCs/>
              </w:rPr>
              <w:t xml:space="preserve">Pan-human Azimuth</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.venv-panhuman</w:t>
            </w:r>
          </w:p>
        </w:tc>
      </w:tr>
    </w:tbl>
    <w:p>
      <w:pPr>
        <w:pStyle w:val="BodyText"/>
      </w:pPr>
      <w:r>
        <w:rPr>
          <w:b/>
          <w:bCs/>
        </w:rPr>
        <w:t xml:space="preserve">Ten of the twelve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1"/>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1"/>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resolved once and reused by every</w:t>
      </w:r>
      <w:r>
        <w:t xml:space="preserve"> </w:t>
      </w:r>
      <w:r>
        <w:t xml:space="preserve">scoring pass (</w:t>
      </w:r>
      <w:r>
        <w:rPr>
          <w:rStyle w:val="VerbatimChar"/>
        </w:rPr>
        <w:t xml:space="preserve">benchmark/metrics.py</w:t>
      </w:r>
      <w:r>
        <w:t xml:space="preserve">, via</w:t>
      </w:r>
      <w:r>
        <w:t xml:space="preserve"> </w:t>
      </w:r>
      <w:r>
        <w:rPr>
          <w:rStyle w:val="VerbatimChar"/>
        </w:rPr>
        <w:t xml:space="preserve">pronto</w:t>
      </w:r>
      <w:r>
        <w:t xml:space="preserve">). A different release can move concordance</w:t>
      </w:r>
      <w:r>
        <w:t xml:space="preserve"> </w:t>
      </w:r>
      <w:r>
        <w:t xml:space="preserve">by a fraction of a point without any model changing, so a rebuild that compares against these</w:t>
      </w:r>
      <w:r>
        <w:t xml:space="preserve"> </w:t>
      </w:r>
      <w:r>
        <w:t xml:space="preserve">numbers should pin the same file.</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2"/>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2"/>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or an accelerator,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3"/>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3"/>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3"/>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3"/>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4"/>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4"/>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4"/>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 an</w:t>
      </w:r>
      <w:r>
        <w:t xml:space="preserve"> </w:t>
      </w:r>
      <w:r>
        <w:t xml:space="preserve">expression-weighted mean of ESM2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4.0</w:t>
            </w:r>
          </w:p>
        </w:tc>
        <w:tc>
          <w:tcPr/>
          <w:p>
            <w:pPr>
              <w:pStyle w:val="Compact"/>
              <w:jc w:val="right"/>
            </w:pPr>
            <w:r>
              <w:rPr>
                <w:b/>
                <w:bCs/>
              </w:rPr>
              <w:t xml:space="preserve">0.35</w:t>
            </w:r>
          </w:p>
        </w:tc>
        <w:tc>
          <w:tcPr/>
          <w:p>
            <w:pPr>
              <w:pStyle w:val="Compact"/>
              <w:jc w:val="right"/>
            </w:pPr>
            <w:r>
              <w:t xml:space="preserve">4403</w:t>
            </w:r>
          </w:p>
        </w:tc>
      </w:tr>
      <w:tr>
        <w:tc>
          <w:tcPr/>
          <w:p>
            <w:pPr>
              <w:pStyle w:val="Compact"/>
            </w:pPr>
            <w:r>
              <w:t xml:space="preserve">scANVI</w:t>
            </w:r>
          </w:p>
        </w:tc>
        <w:tc>
          <w:tcPr/>
          <w:p>
            <w:pPr>
              <w:pStyle w:val="Compact"/>
              <w:jc w:val="right"/>
            </w:pPr>
            <w:r>
              <w:t xml:space="preserve">0.835</w:t>
            </w:r>
          </w:p>
        </w:tc>
        <w:tc>
          <w:tcPr/>
          <w:p>
            <w:pPr>
              <w:pStyle w:val="Compact"/>
              <w:jc w:val="right"/>
            </w:pPr>
            <w:r>
              <w:rPr>
                <w:b/>
                <w:bCs/>
              </w:rPr>
              <w:t xml:space="preserve">0.701</w:t>
            </w:r>
          </w:p>
        </w:tc>
        <w:tc>
          <w:tcPr/>
          <w:p>
            <w:pPr>
              <w:pStyle w:val="Compact"/>
              <w:jc w:val="right"/>
            </w:pPr>
            <w:r>
              <w:rPr>
                <w:b/>
                <w:bCs/>
              </w:rPr>
              <w:t xml:space="preserve">0.812</w:t>
            </w:r>
          </w:p>
        </w:tc>
        <w:tc>
          <w:tcPr/>
          <w:p>
            <w:pPr>
              <w:pStyle w:val="Compact"/>
              <w:jc w:val="right"/>
            </w:pPr>
            <w:r>
              <w:t xml:space="preserve">0.0*</w:t>
            </w:r>
          </w:p>
        </w:tc>
        <w:tc>
          <w:tcPr/>
          <w:p>
            <w:pPr>
              <w:pStyle w:val="Compact"/>
              <w:jc w:val="right"/>
            </w:pPr>
            <w:r>
              <w:t xml:space="preserve">73.1</w:t>
            </w:r>
          </w:p>
        </w:tc>
        <w:tc>
          <w:tcPr/>
          <w:p>
            <w:pPr>
              <w:pStyle w:val="Compact"/>
              <w:jc w:val="right"/>
            </w:pPr>
            <w:r>
              <w:t xml:space="preserve">2118</w:t>
            </w:r>
          </w:p>
        </w:tc>
      </w:tr>
      <w:tr>
        <w:tc>
          <w:tcPr/>
          <w:p>
            <w:pPr>
              <w:pStyle w:val="Compact"/>
            </w:pPr>
            <w:r>
              <w:t xml:space="preserve">scArches</w:t>
            </w:r>
          </w:p>
        </w:tc>
        <w:tc>
          <w:tcPr/>
          <w:p>
            <w:pPr>
              <w:pStyle w:val="Compact"/>
              <w:jc w:val="right"/>
            </w:pPr>
            <w:r>
              <w:t xml:space="preserve">0.833</w:t>
            </w:r>
          </w:p>
        </w:tc>
        <w:tc>
          <w:tcPr/>
          <w:p>
            <w:pPr>
              <w:pStyle w:val="Compact"/>
              <w:jc w:val="right"/>
            </w:pPr>
            <w:r>
              <w:t xml:space="preserve">0.700</w:t>
            </w:r>
          </w:p>
        </w:tc>
        <w:tc>
          <w:tcPr/>
          <w:p>
            <w:pPr>
              <w:pStyle w:val="Compact"/>
              <w:jc w:val="right"/>
            </w:pPr>
            <w:r>
              <w:t xml:space="preserve">0.809</w:t>
            </w:r>
          </w:p>
        </w:tc>
        <w:tc>
          <w:tcPr/>
          <w:p>
            <w:pPr>
              <w:pStyle w:val="Compact"/>
              <w:jc w:val="right"/>
            </w:pPr>
            <w:r>
              <w:t xml:space="preserve">47.7</w:t>
            </w:r>
          </w:p>
        </w:tc>
        <w:tc>
          <w:tcPr/>
          <w:p>
            <w:pPr>
              <w:pStyle w:val="Compact"/>
              <w:jc w:val="right"/>
            </w:pPr>
            <w:r>
              <w:t xml:space="preserve">18.7</w:t>
            </w:r>
          </w:p>
        </w:tc>
        <w:tc>
          <w:tcPr/>
          <w:p>
            <w:pPr>
              <w:pStyle w:val="Compact"/>
              <w:jc w:val="right"/>
            </w:pPr>
            <w:r>
              <w:t xml:space="preserve">1783</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t xml:space="preserve">0.811</w:t>
            </w:r>
          </w:p>
        </w:tc>
        <w:tc>
          <w:tcPr/>
          <w:p>
            <w:pPr>
              <w:pStyle w:val="Compact"/>
              <w:jc w:val="right"/>
            </w:pPr>
            <w:r>
              <w:t xml:space="preserve">16.0</w:t>
            </w:r>
          </w:p>
        </w:tc>
        <w:tc>
          <w:tcPr/>
          <w:p>
            <w:pPr>
              <w:pStyle w:val="Compact"/>
              <w:jc w:val="right"/>
            </w:pPr>
            <w:r>
              <w:rPr>
                <w:b/>
                <w:bCs/>
              </w:rPr>
              <w:t xml:space="preserve">0.37</w:t>
            </w:r>
          </w:p>
        </w:tc>
        <w:tc>
          <w:tcPr/>
          <w:p>
            <w:pPr>
              <w:pStyle w:val="Compact"/>
              <w:jc w:val="right"/>
            </w:pPr>
            <w:r>
              <w:t xml:space="preserve">2145</w:t>
            </w:r>
          </w:p>
        </w:tc>
      </w:tr>
      <w:tr>
        <w:tc>
          <w:tcPr/>
          <w:p>
            <w:pPr>
              <w:pStyle w:val="Compact"/>
            </w:pPr>
            <w:r>
              <w:t xml:space="preserve">CellTypist</w:t>
            </w:r>
          </w:p>
        </w:tc>
        <w:tc>
          <w:tcPr/>
          <w:p>
            <w:pPr>
              <w:pStyle w:val="Compact"/>
              <w:jc w:val="right"/>
            </w:pPr>
            <w:r>
              <w:t xml:space="preserve">0.831</w:t>
            </w:r>
          </w:p>
        </w:tc>
        <w:tc>
          <w:tcPr/>
          <w:p>
            <w:pPr>
              <w:pStyle w:val="Compact"/>
              <w:jc w:val="right"/>
            </w:pPr>
            <w:r>
              <w:t xml:space="preserve">0.697</w:t>
            </w:r>
          </w:p>
        </w:tc>
        <w:tc>
          <w:tcPr/>
          <w:p>
            <w:pPr>
              <w:pStyle w:val="Compact"/>
              <w:jc w:val="right"/>
            </w:pPr>
            <w:r>
              <w:t xml:space="preserve">0.807</w:t>
            </w:r>
          </w:p>
        </w:tc>
        <w:tc>
          <w:tcPr/>
          <w:p>
            <w:pPr>
              <w:pStyle w:val="Compact"/>
              <w:jc w:val="right"/>
            </w:pPr>
            <w:r>
              <w:t xml:space="preserve">27.0</w:t>
            </w:r>
          </w:p>
        </w:tc>
        <w:tc>
          <w:tcPr/>
          <w:p>
            <w:pPr>
              <w:pStyle w:val="Compact"/>
              <w:jc w:val="right"/>
            </w:pPr>
            <w:r>
              <w:rPr>
                <w:b/>
                <w:bCs/>
              </w:rPr>
              <w:t xml:space="preserve">0.63</w:t>
            </w:r>
          </w:p>
        </w:tc>
        <w:tc>
          <w:tcPr/>
          <w:p>
            <w:pPr>
              <w:pStyle w:val="Compact"/>
              <w:jc w:val="right"/>
            </w:pPr>
            <w:r>
              <w:t xml:space="preserve">1661</w:t>
            </w:r>
          </w:p>
        </w:tc>
      </w:tr>
      <w:tr>
        <w:tc>
          <w:tcPr/>
          <w:p>
            <w:pPr>
              <w:pStyle w:val="Compact"/>
            </w:pPr>
            <w:r>
              <w:t xml:space="preserve">SVM</w:t>
            </w:r>
          </w:p>
        </w:tc>
        <w:tc>
          <w:tcPr/>
          <w:p>
            <w:pPr>
              <w:pStyle w:val="Compact"/>
              <w:jc w:val="right"/>
            </w:pPr>
            <w:r>
              <w:t xml:space="preserve">0.816</w:t>
            </w:r>
          </w:p>
        </w:tc>
        <w:tc>
          <w:tcPr/>
          <w:p>
            <w:pPr>
              <w:pStyle w:val="Compact"/>
              <w:jc w:val="right"/>
            </w:pPr>
            <w:r>
              <w:t xml:space="preserve">0.688</w:t>
            </w:r>
          </w:p>
        </w:tc>
        <w:tc>
          <w:tcPr/>
          <w:p>
            <w:pPr>
              <w:pStyle w:val="Compact"/>
              <w:jc w:val="right"/>
            </w:pPr>
            <w:r>
              <w:t xml:space="preserve">0.797</w:t>
            </w:r>
          </w:p>
        </w:tc>
        <w:tc>
          <w:tcPr/>
          <w:p>
            <w:pPr>
              <w:pStyle w:val="Compact"/>
              <w:jc w:val="right"/>
            </w:pPr>
            <w:r>
              <w:t xml:space="preserve">24.9</w:t>
            </w:r>
          </w:p>
        </w:tc>
        <w:tc>
          <w:tcPr/>
          <w:p>
            <w:pPr>
              <w:pStyle w:val="Compact"/>
              <w:jc w:val="right"/>
            </w:pPr>
            <w:r>
              <w:rPr>
                <w:b/>
                <w:bCs/>
              </w:rPr>
              <w:t xml:space="preserve">0.10</w:t>
            </w:r>
          </w:p>
        </w:tc>
        <w:tc>
          <w:tcPr/>
          <w:p>
            <w:pPr>
              <w:pStyle w:val="Compact"/>
              <w:jc w:val="right"/>
            </w:pPr>
            <w:r>
              <w:t xml:space="preserve">1480</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145.9</w:t>
            </w:r>
          </w:p>
        </w:tc>
        <w:tc>
          <w:tcPr/>
          <w:p>
            <w:pPr>
              <w:pStyle w:val="Compact"/>
              <w:jc w:val="right"/>
            </w:pPr>
            <w:r>
              <w:t xml:space="preserve">1.42</w:t>
            </w:r>
          </w:p>
        </w:tc>
        <w:tc>
          <w:tcPr/>
          <w:p>
            <w:pPr>
              <w:pStyle w:val="Compact"/>
              <w:jc w:val="right"/>
            </w:pPr>
            <w:r>
              <w:t xml:space="preserve">1895</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0.2</w:t>
            </w:r>
          </w:p>
        </w:tc>
        <w:tc>
          <w:tcPr/>
          <w:p>
            <w:pPr>
              <w:pStyle w:val="Compact"/>
              <w:jc w:val="right"/>
            </w:pPr>
            <w:r>
              <w:t xml:space="preserve">42.4</w:t>
            </w:r>
          </w:p>
        </w:tc>
        <w:tc>
          <w:tcPr/>
          <w:p>
            <w:pPr>
              <w:pStyle w:val="Compact"/>
              <w:jc w:val="right"/>
            </w:pPr>
            <w:r>
              <w:t xml:space="preserve">3621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0.624</w:t>
            </w:r>
          </w:p>
        </w:tc>
        <w:tc>
          <w:tcPr/>
          <w:p>
            <w:pPr>
              <w:pStyle w:val="Compact"/>
              <w:jc w:val="right"/>
            </w:pPr>
            <w:r>
              <w:t xml:space="preserve">0.769</w:t>
            </w:r>
          </w:p>
        </w:tc>
        <w:tc>
          <w:tcPr/>
          <w:p>
            <w:pPr>
              <w:pStyle w:val="Compact"/>
              <w:jc w:val="right"/>
            </w:pPr>
            <w:r>
              <w:t xml:space="preserve">2.3</w:t>
            </w:r>
          </w:p>
        </w:tc>
        <w:tc>
          <w:tcPr/>
          <w:p>
            <w:pPr>
              <w:pStyle w:val="Compact"/>
              <w:jc w:val="right"/>
            </w:pPr>
            <w:r>
              <w:rPr>
                <w:b/>
                <w:bCs/>
              </w:rPr>
              <w:t xml:space="preserve">0.24</w:t>
            </w:r>
          </w:p>
        </w:tc>
        <w:tc>
          <w:tcPr/>
          <w:p>
            <w:pPr>
              <w:pStyle w:val="Compact"/>
              <w:jc w:val="right"/>
            </w:pPr>
            <w:r>
              <w:t xml:space="preserve">1546</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1.0</w:t>
            </w:r>
          </w:p>
        </w:tc>
        <w:tc>
          <w:tcPr/>
          <w:p>
            <w:pPr>
              <w:pStyle w:val="Compact"/>
              <w:jc w:val="right"/>
            </w:pPr>
            <w:r>
              <w:t xml:space="preserve">1.08</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0.2</w:t>
            </w:r>
          </w:p>
        </w:tc>
        <w:tc>
          <w:tcPr/>
          <w:p>
            <w:pPr>
              <w:pStyle w:val="Compact"/>
              <w:jc w:val="right"/>
            </w:pPr>
            <w:r>
              <w:t xml:space="preserve">9.0</w:t>
            </w:r>
          </w:p>
        </w:tc>
        <w:tc>
          <w:tcPr/>
          <w:p>
            <w:pPr>
              <w:pStyle w:val="Compact"/>
              <w:jc w:val="right"/>
            </w:pPr>
            <w:r>
              <w:t xml:space="preserve">8550</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five span 0.008 in accuracy,</w:t>
      </w:r>
      <w:r>
        <w:t xml:space="preserve"> </w:t>
      </w:r>
      <w:r>
        <w:rPr>
          <w:b/>
          <w:bCs/>
        </w:rPr>
        <w:t xml:space="preserve">~200× in</w:t>
      </w:r>
      <w:r>
        <w:rPr>
          <w:b/>
          <w:bCs/>
        </w:rPr>
        <w:t xml:space="preserve"> </w:t>
      </w:r>
      <w:r>
        <w:rPr>
          <w:b/>
          <w:bCs/>
        </w:rPr>
        <w:t xml:space="preserve">predict time</w:t>
      </w:r>
      <w:r>
        <w:t xml:space="preserve"> </w:t>
      </w:r>
      <w:r>
        <w:t xml:space="preserve">(0.35 s to 73 s) and 2.7× in memory. scANVI sits within 0.004 of the leader and</w:t>
      </w:r>
      <w:r>
        <w:t xml:space="preserve"> </w:t>
      </w:r>
      <w:r>
        <w:t xml:space="preserve">195× slower than actinn-jax at tied accuracy. The linear pipeline is both the most accurate and</w:t>
      </w:r>
      <w:r>
        <w:t xml:space="preserve"> </w:t>
      </w:r>
      <w:r>
        <w:t xml:space="preserve">among the fastest to fit, and pays for it in memory — 4403 vs 2145 MB — because ANOVA/PCA</w:t>
      </w:r>
      <w:r>
        <w:t xml:space="preserve"> </w:t>
      </w:r>
      <w:r>
        <w:t xml:space="preserve">densify a cells × genes matrix while actinn-jax stays sparse; that ~2× ratio holds to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0.218</w:t>
            </w:r>
          </w:p>
        </w:tc>
        <w:tc>
          <w:tcPr/>
          <w:p>
            <w:pPr>
              <w:pStyle w:val="Compact"/>
              <w:jc w:val="right"/>
            </w:pPr>
            <w:r>
              <w:t xml:space="preserve">—</w:t>
            </w:r>
          </w:p>
        </w:tc>
        <w:tc>
          <w:tcPr/>
          <w:p>
            <w:pPr>
              <w:pStyle w:val="Compact"/>
              <w:jc w:val="right"/>
            </w:pPr>
            <w:r>
              <w:t xml:space="preserve">—</w:t>
            </w:r>
          </w:p>
        </w:tc>
        <w:tc>
          <w:tcPr/>
          <w:p>
            <w:pPr>
              <w:pStyle w:val="Compact"/>
              <w:jc w:val="right"/>
            </w:pPr>
            <w:r>
              <w:t xml:space="preserve">32.7</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with no accelerator in it.</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5"/>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5"/>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5"/>
        </w:numPr>
      </w:pPr>
      <w:r>
        <w:t xml:space="preserve">Subsampled references (to keep the matrix tractable); the scaling section characterizes</w:t>
      </w:r>
      <w:r>
        <w:t xml:space="preserve"> </w:t>
      </w:r>
      <w:r>
        <w:t xml:space="preserve">the size dependence directly.</w:t>
      </w:r>
    </w:p>
    <w:p>
      <w:pPr>
        <w:pStyle w:val="Compact"/>
        <w:numPr>
          <w:ilvl w:val="0"/>
          <w:numId w:val="1005"/>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5"/>
        </w:numPr>
      </w:pPr>
      <w:r>
        <w:t xml:space="preserve">actinn-jax needs more cells/type than linear methods to reach parity (§3.1); on very small</w:t>
      </w:r>
      <w:r>
        <w:t xml:space="preserve"> </w:t>
      </w:r>
      <w:r>
        <w:t xml:space="preserve">references it trails.</w:t>
      </w:r>
    </w:p>
    <w:p>
      <w:pPr>
        <w:pStyle w:val="Compact"/>
        <w:numPr>
          <w:ilvl w:val="0"/>
          <w:numId w:val="1005"/>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5"/>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5"/>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5"/>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5"/>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5"/>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5"/>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in .</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w:t>
      </w:r>
      <w:r>
        <w:t xml:space="preserve"> </w:t>
      </w:r>
      <w:r>
        <w:rPr>
          <w:rStyle w:val="VerbatimChar"/>
        </w:rPr>
        <w:t xml:space="preserve">actinn_jax.bundled_reference(name)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6"/>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6"/>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6"/>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6"/>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6"/>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6"/>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6"/>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6"/>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6"/>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6"/>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6"/>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6"/>
        </w:numPr>
      </w:pPr>
      <w:r>
        <w:t xml:space="preserve">Open Problems for Single-Cell Analysis Consortium. Open Problems: a living benchmark for single-cell analysis. openproblems.bio (2024).</w:t>
      </w:r>
    </w:p>
    <w:p>
      <w:pPr>
        <w:pStyle w:val="Compact"/>
        <w:numPr>
          <w:ilvl w:val="0"/>
          <w:numId w:val="1006"/>
        </w:numPr>
      </w:pPr>
      <w:r>
        <w:t xml:space="preserve">Bradbury J, et al. JAX: composable transformations of Python+NumPy programs (2018). github.com/google/jax.</w:t>
      </w:r>
    </w:p>
    <w:p>
      <w:pPr>
        <w:pStyle w:val="Compact"/>
        <w:numPr>
          <w:ilvl w:val="0"/>
          <w:numId w:val="1006"/>
        </w:numPr>
      </w:pPr>
      <w:r>
        <w:t xml:space="preserve">Edgar R, et al. The Human Liver Cell Atlas (HLiCA). doi:10.64898/2026.06.30.735539.</w:t>
      </w:r>
    </w:p>
    <w:p>
      <w:pPr>
        <w:pStyle w:val="Compact"/>
        <w:numPr>
          <w:ilvl w:val="0"/>
          <w:numId w:val="1006"/>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6"/>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6"/>
        </w:numPr>
      </w:pPr>
      <w:r>
        <w:t xml:space="preserve">Yampolskaya M, Souza H, et al. scTOP: cell identity from single-cell data via parameter-free projection. github.com/Emergent-Behaviors-in-Biology/scTOP.</w:t>
      </w:r>
    </w:p>
    <w:p>
      <w:pPr>
        <w:pStyle w:val="Compact"/>
        <w:numPr>
          <w:ilvl w:val="0"/>
          <w:numId w:val="1006"/>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6"/>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2026-07-30T18:59:14Z</dcterms:created>
  <dcterms:modified xsi:type="dcterms:W3CDTF">2026-07-30T18:59:14Z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Cell-Ontology-derived hierarchy that takes the accelerator out of the build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