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 state</w:t>
      </w:r>
      <w:r>
        <w:t xml:space="preserve"> </w:t>
      </w:r>
      <w:r>
        <w:t xml:space="preserve">that produced this manuscript is tagged</w:t>
      </w:r>
      <w:r>
        <w:t xml:space="preserve"> </w:t>
      </w:r>
      <w:hyperlink r:id="rId84">
        <w:r>
          <w:rPr>
            <w:rStyle w:val="Hyperlink"/>
            <w:b/>
            <w:bCs/>
          </w:rPr>
          <w:t xml:space="preserve">v1.0.0</w:t>
        </w:r>
      </w:hyperlink>
      <w:r>
        <w:t xml:space="preserve">, which is</w:t>
      </w:r>
      <w:r>
        <w:t xml:space="preserve"> </w:t>
      </w:r>
      <w:r>
        <w:t xml:space="preserve">the version to cite for reproduction; the default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84" Target="https://github.com/iandriver/actinn-jax-benchmark/releases/tag/v1.0.0"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84" Target="https://github.com/iandriver/actinn-jax-benchmark/releases/tag/v1.0.0"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2026-08-12T14:18:14Z</dcterms:created>
  <dcterms:modified xsi:type="dcterms:W3CDTF">2026-08-12T14:18:14Z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