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13-method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reaching higher concordance than the teacher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inference cost differs by ~130×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reaching higher concordance than either the teacher or a</w:t>
      </w:r>
      <w:r>
        <w:t xml:space="preserve"> </w:t>
      </w:r>
      <w:r>
        <w:t xml:space="preserve">census-built 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 (Supplementary Note S3).</w:t>
      </w:r>
    </w:p>
    <w:p>
      <w:pPr>
        <w:pStyle w:val="BodyText"/>
      </w:pPr>
      <w:r>
        <w:rPr>
          <w:b/>
          <w:bCs/>
        </w:rPr>
        <w:t xml:space="preserve">Supplementary figures.</w:t>
      </w:r>
      <w:r>
        <w:t xml:space="preserve"> </w:t>
      </w:r>
      <w:r>
        <w:t xml:space="preserve">Confusion matrices with ontology-equivalent errors outlined</w:t>
      </w:r>
      <w:r>
        <w:t xml:space="preserve"> </w:t>
      </w:r>
      <w:r>
        <w:t xml:space="preserve">(Figure S1), the abstain trade-off (S2), and per-class recall across all eleven methods (S3)</w:t>
      </w:r>
      <w:r>
        <w:t xml:space="preserve"> </w:t>
      </w:r>
      <w:r>
        <w:t xml:space="preserve">are in the benchmark repository.</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in Supplementary Notes S5–S9.</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~130× in</w:t>
      </w:r>
      <w:r>
        <w:rPr>
          <w:b/>
          <w:bCs/>
        </w:rPr>
        <w:t xml:space="preserve"> </w:t>
      </w:r>
      <w:r>
        <w:rPr>
          <w:b/>
          <w:bCs/>
        </w:rPr>
        <w:t xml:space="preserve">inference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(Supplementary Note S3).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 (Supplementary Note S8).</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3" name="Picture"/>
            <a:graphic>
              <a:graphicData uri="http://schemas.openxmlformats.org/drawingml/2006/picture">
                <pic:pic>
                  <pic:nvPicPr>
                    <pic:cNvPr descr="/Users/iandriver/Downloads/actinn-jax-benchmark/docs/figures/fig_workflow_umap_ondata.png" id="24" name="Picture"/>
                    <pic:cNvPicPr>
                      <a:picLocks noChangeArrowheads="1" noChangeAspect="1"/>
                    </pic:cNvPicPr>
                  </pic:nvPicPr>
                  <pic:blipFill>
                    <a:blip r:embed="rId2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beats both the teacher and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(Supplementary Note S6). Replacing the embedding-derived hierarchy with one derived from Cell</w:t>
      </w:r>
      <w:r>
        <w:t xml:space="preserve"> </w:t>
      </w:r>
      <w:r>
        <w:t xml:space="preserve">Ontology lineage removes the GPU from the build entirely and outperforms it (0.616 vs 0.547</w:t>
      </w:r>
      <w:r>
        <w:t xml:space="preserve"> </w:t>
      </w:r>
      <w:r>
        <w:t xml:space="preserve">flat; a same-sized random grouping scores 0.539), which extends the route to a second organism</w:t>
      </w:r>
      <w:r>
        <w:t xml:space="preserve"> </w:t>
      </w:r>
      <w:r>
        <w:t xml:space="preserve">(Supplementary Note S10).</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(Supplementary Note S9).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Supplementary Note S1.</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13-method benchmark of cost, scaling and workflow</dc:title>
  <dc:creator>Ian Driver</dc:creator>
  <cp:keywords/>
  <dcterms:created xsi:type="dcterms:W3CDTF">2026-08-08T19:22:57Z</dcterms:created>
  <dcterms:modified xsi:type="dcterms:W3CDTF">2026-08-08T19:22:57Z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reaching higher concordance than the teacher at 6–9× its throughput. We release the reimplementation (actinn-jax), the harness, and the pre-trained references.</vt:lpwstr>
  </property>
  <property fmtid="{D5CDD505-2E9C-101B-9397-08002B2CF9AE}" pid="3" name="date">
    <vt:lpwstr/>
  </property>
</Properties>
</file>