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 (per-run numbers in the</w:t>
      </w:r>
      <w:r>
        <w:t xml:space="preserve"> </w:t>
      </w:r>
      <w:hyperlink r:id="rId33">
        <w:r>
          <w:rPr>
            <w:rStyle w:val="Hyperlink"/>
          </w:rPr>
          <w:t xml:space="preserve">benchmark repository</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 its feature-selection step caps the</w:t>
      </w:r>
      <w:r>
        <w:t xml:space="preserve"> </w:t>
      </w:r>
      <w:r>
        <w:t xml:space="preserve">dense matrix at 20,000 genes,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2026-08-06T00:27:46Z</dcterms:created>
  <dcterms:modified xsi:type="dcterms:W3CDTF">2026-08-06T00:27:46Z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