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The leading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20"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(Figure 1A). The HLiCA liver atlas reproduces the reversal independently</w:t>
      </w:r>
      <w:r>
        <w:t xml:space="preserve"> </w:t>
      </w:r>
      <w:r>
        <w:t xml:space="preserve">(Figure 1B), and peak memory stays within a bounded band rather than widening (Figure 1C).</w:t>
      </w:r>
      <w:r>
        <w:t xml:space="preserve"> </w:t>
      </w:r>
      <w:r>
        <w:t xml:space="preserve">Conclusions from subsampled references do not transfer to atlas scale in either direction.</w:t>
      </w:r>
    </w:p>
    <w:p>
      <w:pPr>
        <w:pStyle w:val="BodyText"/>
      </w:pPr>
      <w:r>
        <w:drawing>
          <wp:inline>
            <wp:extent cx="5334000" cy="1702553"/>
            <wp:effectExtent b="0" l="0" r="0" t="0"/>
            <wp:docPr descr="accuracy and memory against reference size" title="" id="18" name="Picture"/>
            <a:graphic>
              <a:graphicData uri="http://schemas.openxmlformats.org/drawingml/2006/picture">
                <pic:pic>
                  <pic:nvPicPr>
                    <pic:cNvPr descr="/Users/iandriver/Downloads/actinn-jax-benchmark/docs/figures/fig_atlas_scaling.png" id="19" name="Picture"/>
                    <pic:cNvPicPr>
                      <a:picLocks noChangeArrowheads="1" noChangeAspect="1"/>
                    </pic:cNvPicPr>
                  </pic:nvPicPr>
                  <pic:blipFill>
                    <a:blip r:embed="rId17"/>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and peak memory against reference size, four methods carried to atlas</w:t>
      </w:r>
      <w:r>
        <w:t xml:space="preserve"> </w:t>
      </w:r>
      <w:r>
        <w:t xml:space="preserve">scale.</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 an independent</w:t>
      </w:r>
      <w:r>
        <w:t xml:space="preserve"> </w:t>
      </w:r>
      <w:r>
        <w:t xml:space="preserve">replication.</w:t>
      </w:r>
      <w:r>
        <w:t xml:space="preserve"> </w:t>
      </w:r>
      <w:r>
        <w:rPr>
          <w:i/>
          <w:iCs/>
        </w:rPr>
        <w:t xml:space="preserve">C:</w:t>
      </w:r>
      <w:r>
        <w:t xml:space="preserve"> </w:t>
      </w:r>
      <w:r>
        <w:t xml:space="preserve">peak memory over both sweeps.</w:t>
      </w:r>
    </w:p>
    <w:p>
      <w:pPr>
        <w:pStyle w:val="BodyText"/>
      </w:pPr>
      <w:r>
        <w:t xml:space="preserve">External validation inverts a different axis. On Open Problems — datasets, metrics and ranking</w:t>
      </w:r>
      <w:r>
        <w:t xml:space="preserve"> </w:t>
      </w:r>
      <w:r>
        <w:t xml:space="preserve">not ours — all eleven methods were run in a single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whereas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and one weak</w:t>
      </w:r>
      <w:r>
        <w:t xml:space="preserve"> </w:t>
      </w:r>
      <w:r>
        <w:t xml:space="preserve">result inside three ordinary ones, traced to the fixed feature budget.</w:t>
      </w:r>
    </w:p>
    <w:bookmarkEnd w:id="20"/>
    <w:bookmarkStart w:id="24" w:name="inference-cost-is-flat-in-reference-size"/>
    <w:p>
      <w:pPr>
        <w:pStyle w:val="Heading2"/>
      </w:pPr>
      <w:r>
        <w:t xml:space="preserve">Inference cost is flat in reference size</w:t>
      </w:r>
    </w:p>
    <w:p>
      <w:pPr>
        <w:pStyle w:val="FirstParagraph"/>
      </w:pPr>
      <w:r>
        <w:t xml:space="preserve">Fit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2).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r>
        <w:t xml:space="preserve"> </w:t>
      </w:r>
      <w:r>
        <w:t xml:space="preserve">(Figure 1C).</w:t>
      </w:r>
    </w:p>
    <w:p>
      <w:pPr>
        <w:pStyle w:val="BodyText"/>
      </w:pPr>
      <w:r>
        <w:drawing>
          <wp:inline>
            <wp:extent cx="5334000" cy="1970216"/>
            <wp:effectExtent b="0" l="0" r="0" t="0"/>
            <wp:docPr descr="scaling" title="" id="22" name="Picture"/>
            <a:graphic>
              <a:graphicData uri="http://schemas.openxmlformats.org/drawingml/2006/picture">
                <pic:pic>
                  <pic:nvPicPr>
                    <pic:cNvPr descr="/Users/iandriver/Downloads/actinn-jax-benchmark/docs/figures/fig_scaling.png" id="23" name="Picture"/>
                    <pic:cNvPicPr>
                      <a:picLocks noChangeArrowheads="1" noChangeAspect="1"/>
                    </pic:cNvPicPr>
                  </pic:nvPicPr>
                  <pic:blipFill>
                    <a:blip r:embed="rId21"/>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prediction time against reference size and label cardinality. Fit time</w:t>
      </w:r>
      <w:r>
        <w:t xml:space="preserve"> </w:t>
      </w:r>
      <w:r>
        <w:t xml:space="preserve">grows for every trained method; prediction stays flat and sub-second across the whole range.</w:t>
      </w:r>
    </w:p>
    <w:bookmarkEnd w:id="24"/>
    <w:bookmarkStart w:id="28"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3).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6" name="Picture"/>
            <a:graphic>
              <a:graphicData uri="http://schemas.openxmlformats.org/drawingml/2006/picture">
                <pic:pic>
                  <pic:nvPicPr>
                    <pic:cNvPr descr="/Users/iandriver/Downloads/actinn-jax-benchmark/docs/figures/fig_workflow_umap_ondata.png" id="27" name="Picture"/>
                    <pic:cNvPicPr>
                      <a:picLocks noChangeArrowheads="1" noChangeAspect="1"/>
                    </pic:cNvPicPr>
                  </pic:nvPicPr>
                  <pic:blipFill>
                    <a:blip r:embed="rId25"/>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8"/>
    <w:bookmarkStart w:id="29"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w:t>
      </w:r>
    </w:p>
    <w:p>
      <w:pPr>
        <w:pStyle w:val="BodyText"/>
      </w:pPr>
      <w:r>
        <w:t xml:space="preserve">The GPU can be removed from the other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CellTypist’s probabilities are saturated, so it</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0.917 for a</w:t>
      </w:r>
      <w:r>
        <w:t xml:space="preserve"> </w:t>
      </w:r>
      <w:r>
        <w:t xml:space="preserve">reference-trained model on the same cells, taking ~280× longer — reproduced independently on</w:t>
      </w:r>
      <w:r>
        <w:t xml:space="preserve"> </w:t>
      </w:r>
      <w:r>
        <w:t xml:space="preserve">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2026-08-10T20:18:22Z</dcterms:created>
  <dcterms:modified xsi:type="dcterms:W3CDTF">2026-08-10T20:18:22Z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