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0.png" ContentType="image/png"/>
  <Override PartName="/word/media/rId34.png" ContentType="image/png"/>
  <Override PartName="/word/media/rId26.png" ContentType="image/png"/>
  <Override PartName="/word/media/rId38.png" ContentType="image/png"/>
  <Override PartName="/word/media/rId4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hierarchy derived from the Cell Ontology, which removes the GPU step from building a reference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tier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([Abdelaal 2019], [Huang 2024])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Most importantly, the</w:t>
      </w:r>
      <w:r>
        <w:t xml:space="preserve"> </w:t>
      </w:r>
      <w:r>
        <w:rPr>
          <w:b/>
          <w:bCs/>
        </w:rPr>
        <w:t xml:space="preserve">external validation is</w:t>
      </w:r>
      <w:r>
        <w:rPr>
          <w:b/>
          <w:bCs/>
        </w:rPr>
        <w:t xml:space="preserve"> </w:t>
      </w:r>
      <w:r>
        <w:rPr>
          <w:b/>
          <w:bCs/>
        </w:rPr>
        <w:t xml:space="preserve">somebody 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bounded</w:t>
      </w:r>
      <w:r>
        <w:t xml:space="preserve"> </w:t>
      </w:r>
      <w:r>
        <w:t xml:space="preserve">rather than widening memory advantage, a better-resourced broad annotator than our own — they</w:t>
      </w:r>
      <w:r>
        <w:t xml:space="preserve"> </w:t>
      </w:r>
      <w:r>
        <w:t xml:space="preserve">are reported in those terms.</w:t>
      </w:r>
    </w:p>
    <w:p>
      <w:pPr>
        <w:pStyle w:val="BodyText"/>
      </w:pPr>
      <w:r>
        <w:rPr>
          <w:b/>
          <w:bCs/>
        </w:rPr>
        <w:t xml:space="preserve">On adding another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already full of working</w:t>
      </w:r>
      <w:r>
        <w:t xml:space="preserve"> </w:t>
      </w:r>
      <w:r>
        <w:t xml:space="preserve">methods ([xkcd 927])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tier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9"/>
    <w:bookmarkStart w:id="22" w:name="methods"/>
    <w:p>
      <w:pPr>
        <w:pStyle w:val="Heading1"/>
      </w:pPr>
      <w:r>
        <w:t xml:space="preserve">Methods</w:t>
      </w:r>
    </w:p>
    <w:bookmarkStart w:id="10" w:name="actinn-jax"/>
    <w:p>
      <w:pPr>
        <w:pStyle w:val="Heading2"/>
      </w:pPr>
      <w:r>
        <w:t xml:space="preserve">actinn-jax</w:t>
      </w:r>
    </w:p>
    <w:p>
      <w:pPr>
        <w:pStyle w:val="FirstParagraph"/>
      </w:pPr>
      <w:r>
        <w:t xml:space="preserve">actinn-jax reimplements ACTINN ([Ma &amp; Pellegrini 2020]) — a 4-layer fully-connected</w:t>
      </w:r>
      <w:r>
        <w:t xml:space="preserve"> </w:t>
      </w:r>
      <w:r>
        <w:t xml:space="preserve">network (100/50/25 hidden units, ReLU, softmax) trained with Adam — in JAX/optax</w:t>
      </w:r>
      <w:r>
        <w:t xml:space="preserve"> </w:t>
      </w:r>
      <w:r>
        <w:t xml:space="preserve">([Bradbury 2018]),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expression / coefficient-of-variation gene filter run on sparse</w:t>
      </w:r>
      <w:r>
        <w:t xml:space="preserve"> </w:t>
      </w:r>
      <w:r>
        <w:t xml:space="preserve">matrices; only the selected-gene</w:t>
      </w:r>
      <w:r>
        <w:t xml:space="preserve"> </w:t>
      </w:r>
      <w:r>
        <w:t xml:space="preserve">columns of each minibatch are densified.</w:t>
      </w:r>
    </w:p>
    <w:p>
      <w:pPr>
        <w:pStyle w:val="Compact"/>
        <w:numPr>
          <w:ilvl w:val="0"/>
          <w:numId w:val="1002"/>
        </w:numPr>
      </w:pP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p>
    <w:p>
      <w:pPr>
        <w:pStyle w:val="Compact"/>
        <w:numPr>
          <w:ilvl w:val="0"/>
          <w:numId w:val="1002"/>
        </w:numPr>
      </w:pP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p>
    <w:p>
      <w:pPr>
        <w:pStyle w:val="Compact"/>
        <w:numPr>
          <w:ilvl w:val="0"/>
          <w:numId w:val="1002"/>
        </w:numPr>
      </w:pP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(§3.7).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0"/>
    <w:bookmarkStart w:id="12"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250"/>
        <w:gridCol w:w="1250"/>
        <w:gridCol w:w="833"/>
        <w:gridCol w:w="2396"/>
        <w:gridCol w:w="1146"/>
        <w:gridCol w:w="1042"/>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r>
              <w:t xml:space="preserve">[Ma &amp; Pellegrini 2020]</w:t>
            </w:r>
          </w:p>
        </w:tc>
        <w:tc>
          <w:tcPr/>
          <w:p>
            <w:pPr>
              <w:pStyle w:val="Compact"/>
            </w:pPr>
            <w:r>
              <w:t xml:space="preserve">classical</w:t>
            </w:r>
          </w:p>
        </w:tc>
        <w:tc>
          <w:tcPr/>
          <w:p>
            <w:pPr>
              <w:pStyle w:val="Compact"/>
            </w:pPr>
            <w:r>
              <w:t xml:space="preserve">JAX MLP</w:t>
            </w:r>
          </w:p>
        </w:tc>
        <w:tc>
          <w:tcPr/>
          <w:p>
            <w:pPr>
              <w:pStyle w:val="Compact"/>
            </w:pPr>
            <w:r>
              <w:t xml:space="preserve">abstain (</w:t>
            </w:r>
            <w:r>
              <w:rPr>
                <w:rStyle w:val="VerbatimChar"/>
              </w:rPr>
              <w:t xml:space="preserve">min_prob</w:t>
            </w:r>
            <w:r>
              <w:t xml:space="preserve">)</w:t>
            </w:r>
          </w:p>
        </w:tc>
        <w:tc>
          <w:tcPr/>
          <w:p>
            <w:pPr>
              <w:pStyle w:val="Compact"/>
            </w:pPr>
            <w:r>
              <w:t xml:space="preserve">core</w:t>
            </w:r>
          </w:p>
        </w:tc>
      </w:tr>
      <w:tr>
        <w:tc>
          <w:tcPr/>
          <w:p>
            <w:pPr>
              <w:pStyle w:val="Compact"/>
            </w:pPr>
            <w:r>
              <w:t xml:space="preserve">SVM</w:t>
            </w:r>
          </w:p>
        </w:tc>
        <w:tc>
          <w:tcPr/>
          <w:p>
            <w:pPr>
              <w:pStyle w:val="Compact"/>
            </w:pPr>
            <w:r>
              <w:t xml:space="preserve">[Pedregosa 2011]</w:t>
            </w:r>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r>
              <w:t xml:space="preserve">[Pedregosa 2011]</w:t>
            </w:r>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r>
              <w:t xml:space="preserve">[Domínguez Conde 2022]</w:t>
            </w:r>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r>
              <w:t xml:space="preserve">[Pedregosa 2011] †</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r>
              <w:t xml:space="preserve">[Yampolskaya 2023]</w:t>
            </w:r>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core (</w:t>
            </w:r>
            <w:r>
              <w:rPr>
                <w:rStyle w:val="VerbatimChar"/>
              </w:rPr>
              <w:t xml:space="preserve">sctop</w:t>
            </w:r>
            <w:r>
              <w:t xml:space="preserve">)</w:t>
            </w:r>
          </w:p>
        </w:tc>
      </w:tr>
      <w:tr>
        <w:tc>
          <w:tcPr/>
          <w:p>
            <w:pPr>
              <w:pStyle w:val="Compact"/>
            </w:pPr>
            <w:r>
              <w:t xml:space="preserve">SingleR</w:t>
            </w:r>
          </w:p>
        </w:tc>
        <w:tc>
          <w:tcPr/>
          <w:p>
            <w:pPr>
              <w:pStyle w:val="Compact"/>
            </w:pPr>
            <w:r>
              <w:t xml:space="preserve">[Aran 2019]</w:t>
            </w:r>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r>
              <w:t xml:space="preserve">[Kiselev 2018]</w:t>
            </w:r>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r>
              <w:t xml:space="preserve">[Xu 2021]</w:t>
            </w:r>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 (MPS)</w:t>
            </w:r>
          </w:p>
        </w:tc>
      </w:tr>
      <w:tr>
        <w:tc>
          <w:tcPr/>
          <w:p>
            <w:pPr>
              <w:pStyle w:val="Compact"/>
            </w:pPr>
            <w:r>
              <w:t xml:space="preserve">scArches</w:t>
            </w:r>
          </w:p>
        </w:tc>
        <w:tc>
          <w:tcPr/>
          <w:p>
            <w:pPr>
              <w:pStyle w:val="Compact"/>
            </w:pPr>
            <w:r>
              <w:t xml:space="preserve">[Lotfollahi 2022]</w:t>
            </w:r>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 (MPS)</w:t>
            </w:r>
          </w:p>
        </w:tc>
      </w:tr>
      <w:tr>
        <w:tc>
          <w:tcPr/>
          <w:p>
            <w:pPr>
              <w:pStyle w:val="Compact"/>
            </w:pPr>
            <w:r>
              <w:rPr>
                <w:b/>
                <w:bCs/>
              </w:rPr>
              <w:t xml:space="preserve">ProtoCloud</w:t>
            </w:r>
          </w:p>
        </w:tc>
        <w:tc>
          <w:tcPr/>
          <w:p>
            <w:pPr>
              <w:pStyle w:val="Compact"/>
            </w:pPr>
            <w:r>
              <w:t xml:space="preserve">[Guo &amp; Ding 2026]</w:t>
            </w:r>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protocloud</w:t>
            </w:r>
          </w:p>
        </w:tc>
      </w:tr>
      <w:tr>
        <w:tc>
          <w:tcPr/>
          <w:p>
            <w:pPr>
              <w:pStyle w:val="Compact"/>
            </w:pPr>
            <w:r>
              <w:t xml:space="preserve">scPRINT</w:t>
            </w:r>
          </w:p>
        </w:tc>
        <w:tc>
          <w:tcPr/>
          <w:p>
            <w:pPr>
              <w:pStyle w:val="Compact"/>
            </w:pPr>
            <w:r>
              <w:t xml:space="preserve">[Kalfon 2025]</w:t>
            </w:r>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scprint (MPS)</w:t>
            </w:r>
          </w:p>
        </w:tc>
      </w:tr>
      <w:tr>
        <w:tc>
          <w:tcPr/>
          <w:p>
            <w:pPr>
              <w:pStyle w:val="Compact"/>
            </w:pPr>
            <w:r>
              <w:rPr>
                <w:b/>
                <w:bCs/>
              </w:rPr>
              <w:t xml:space="preserve">Pan-human Azimuth</w:t>
            </w:r>
          </w:p>
        </w:tc>
        <w:tc>
          <w:tcPr/>
          <w:p>
            <w:pPr>
              <w:pStyle w:val="Compact"/>
            </w:pPr>
            <w:r>
              <w:t xml:space="preserve">[Sarkar et al. 2026]</w:t>
            </w:r>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panhuman</w:t>
            </w:r>
          </w:p>
        </w:tc>
      </w:tr>
    </w:tbl>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([Sarkar et al. 2026])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 Adapter:</w:t>
      </w:r>
      <w:r>
        <w:t xml:space="preserve"> </w:t>
      </w:r>
      <w:hyperlink r:id="rId11">
        <w:r>
          <w:rPr>
            <w:rStyle w:val="VerbatimChar"/>
          </w:rPr>
          <w:t xml:space="preserve">panhuman_adapter.py</w:t>
        </w:r>
      </w:hyperlink>
      <w:r>
        <w:t xml:space="preserve">.</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12"/>
    <w:bookmarkStart w:id="13" w:name="datasets"/>
    <w:p>
      <w:pPr>
        <w:pStyle w:val="Heading2"/>
      </w:pPr>
      <w:r>
        <w:t xml:space="preserve">Datasets</w:t>
      </w:r>
    </w:p>
    <w:tbl>
      <w:tblPr>
        <w:tblStyle w:val="Table"/>
        <w:tblW w:type="pct" w:w="5000"/>
        <w:tblLayout w:type="fixed"/>
        <w:tblLook w:firstRow="1" w:lastRow="0" w:firstColumn="0" w:lastColumn="0" w:noHBand="0" w:noVBand="0" w:val="0020"/>
      </w:tblPr>
      <w:tblGrid>
        <w:gridCol w:w="1634"/>
        <w:gridCol w:w="1257"/>
        <w:gridCol w:w="880"/>
        <w:gridCol w:w="1131"/>
        <w:gridCol w:w="754"/>
        <w:gridCol w:w="880"/>
        <w:gridCol w:w="1382"/>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r>
              <w:t xml:space="preserve">[Travaglini 2020]</w:t>
            </w:r>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r>
              <w:t xml:space="preserve">[Sikkema 2023] → [Travaglini 2020]</w:t>
            </w:r>
          </w:p>
        </w:tc>
        <w:tc>
          <w:tcPr/>
          <w:p>
            <w:pPr>
              <w:pStyle w:val="Compact"/>
            </w:pPr>
            <w:r>
              <w:t xml:space="preserve">cross-dataset</w:t>
            </w:r>
          </w:p>
        </w:tc>
        <w:tc>
          <w:tcPr/>
          <w:p>
            <w:pPr>
              <w:pStyle w:val="Compact"/>
            </w:pPr>
            <w:r>
              <w:t xml:space="preserve">lung (HLCA→Krasnow)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r>
              <w:t xml:space="preserve">[Edgar 2026]</w:t>
            </w:r>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r>
              <w:t xml:space="preserve">[Edgar 2026]</w:t>
            </w:r>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r>
              <w:t xml:space="preserve">[Alegbe 2026]</w:t>
            </w:r>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r>
              <w:t xml:space="preserve">[10x Genomics 2016]</w:t>
            </w:r>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13"/>
    <w:bookmarkStart w:id="1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w:t>
      </w:r>
      <w:r>
        <w:t xml:space="preserve"> </w:t>
      </w:r>
      <w:r>
        <w:rPr>
          <w:rStyle w:val="VerbatimChar"/>
          <w:b/>
          <w:bCs/>
        </w:rPr>
        <w:t xml:space="preserve">cl-basic.obo</w:t>
      </w:r>
      <w:r>
        <w:rPr>
          <w:b/>
          <w:bCs/>
        </w:rPr>
        <w:t xml:space="preserve">, CL release 2026-06-08</w:t>
      </w:r>
      <w:r>
        <w:t xml:space="preserve"> </w:t>
      </w:r>
      <w:r>
        <w:t xml:space="preserve">(sha256</w:t>
      </w:r>
      <w:r>
        <w:t xml:space="preserve"> </w:t>
      </w:r>
      <w:r>
        <w:rPr>
          <w:rStyle w:val="VerbatimChar"/>
        </w:rPr>
        <w:t xml:space="preserve">73996c63…</w:t>
      </w:r>
      <w:r>
        <w:t xml:space="preserve">), resolved once and reused by every scoring pass (</w:t>
      </w:r>
      <w:r>
        <w:rPr>
          <w:rStyle w:val="VerbatimChar"/>
        </w:rPr>
        <w:t xml:space="preserve">benchmark/metrics.py</w:t>
      </w:r>
      <w:r>
        <w:t xml:space="preserve">,</w:t>
      </w:r>
      <w:r>
        <w:t xml:space="preserve"> </w:t>
      </w:r>
      <w:r>
        <w:t xml:space="preserve">via</w:t>
      </w:r>
      <w:r>
        <w:t xml:space="preserve"> </w:t>
      </w:r>
      <w:r>
        <w:rPr>
          <w:rStyle w:val="VerbatimChar"/>
        </w:rPr>
        <w:t xml:space="preserve">pronto</w:t>
      </w:r>
      <w:r>
        <w:t xml:space="preserve">). This is not a hypothetical concern: re-running</w:t>
      </w:r>
      <w:r>
        <w:t xml:space="preserve"> </w:t>
      </w:r>
      <w:r>
        <w:rPr>
          <w:rStyle w:val="VerbatimChar"/>
        </w:rPr>
        <w:t xml:space="preserve">lung_cross</w:t>
      </w:r>
      <w:r>
        <w:t xml:space="preserve"> </w:t>
      </w:r>
      <w:r>
        <w:t xml:space="preserve">against a</w:t>
      </w:r>
      <w:r>
        <w:t xml:space="preserve"> </w:t>
      </w:r>
      <w:r>
        <w:t xml:space="preserve">later-fetched release reproduced the splits exactly (14,390 reference / 13,550 query cells)</w:t>
      </w:r>
      <w:r>
        <w:t xml:space="preserve"> </w:t>
      </w:r>
      <w:r>
        <w:t xml:space="preserve">and still moved concordance by 0.003, with no model changing. The release, its checksum, and</w:t>
      </w:r>
      <w:r>
        <w:t xml:space="preserve"> </w:t>
      </w:r>
      <w:r>
        <w:t xml:space="preserve">exact versions for all six benchmark environments are recorded in</w:t>
      </w:r>
      <w:r>
        <w:t xml:space="preserve"> </w:t>
      </w:r>
      <w:r>
        <w:rPr>
          <w:rStyle w:val="VerbatimChar"/>
        </w:rPr>
        <w:t xml:space="preserve">envs/locks/</w:t>
      </w:r>
      <w:r>
        <w:t xml:space="preserve"> </w:t>
      </w:r>
      <w:r>
        <w:t xml:space="preserve">(</w:t>
      </w:r>
      <w:r>
        <w:rPr>
          <w:rStyle w:val="VerbatimChar"/>
        </w:rPr>
        <w:t xml:space="preserve">tools/freeze_envs.py --check</w:t>
      </w:r>
      <w:r>
        <w:t xml:space="preserve"> </w:t>
      </w:r>
      <w:r>
        <w:t xml:space="preserve">reports drift).</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14"/>
    <w:bookmarkStart w:id="1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via subprocess isolation</w:t>
      </w:r>
      <w:r>
        <w:t xml:space="preserve"> </w:t>
      </w:r>
      <w:r>
        <w:t xml:space="preserve">(</w:t>
      </w:r>
      <w:r>
        <w:rPr>
          <w:rStyle w:val="VerbatimChar"/>
        </w:rPr>
        <w:t xml:space="preserve">benchmark/runner.py</w:t>
      </w:r>
      <w:r>
        <w:t xml:space="preserve">), because the dependency sets are mutually unsatisfiable — scVI-based</w:t>
      </w:r>
      <w:r>
        <w:t xml:space="preserve"> </w:t>
      </w:r>
      <w:r>
        <w:t xml:space="preserve">methods, TensorFlow/Keras (Pan-human Azimuth), R (SingleR, scmap) and the JAX core cannot</w:t>
      </w:r>
      <w:r>
        <w:t xml:space="preserve"> </w:t>
      </w:r>
      <w:r>
        <w:t xml:space="preserve">coexist in one interpreter. The driver (</w:t>
      </w:r>
      <w:r>
        <w:rPr>
          <w:rStyle w:val="VerbatimChar"/>
        </w:rPr>
        <w:t xml:space="preserve">benchmark/driver.py</w:t>
      </w:r>
      <w:r>
        <w:t xml:space="preserve">) builds the reference/query</w:t>
      </w:r>
      <w:r>
        <w:t xml:space="preserve"> </w:t>
      </w:r>
      <w:r>
        <w:t xml:space="preserve">split</w:t>
      </w:r>
      <w:r>
        <w:t xml:space="preserve"> </w:t>
      </w:r>
      <w:r>
        <w:rPr>
          <w:b/>
          <w:bCs/>
        </w:rPr>
        <w:t xml:space="preserve">once per dataset</w:t>
      </w:r>
      <w:r>
        <w:t xml:space="preserve">, from a fixed seed, and hands the identical pair to every method,</w:t>
      </w:r>
      <w:r>
        <w:t xml:space="preserve"> </w:t>
      </w:r>
      <w:r>
        <w:t xml:space="preserve">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15"/>
    <w:bookmarkStart w:id="16"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w:t>
      </w:r>
      <w:r>
        <w:rPr>
          <w:rStyle w:val="VerbatimChar"/>
        </w:rPr>
        <w:t xml:space="preserve">update_broad_reference.sh</w:t>
      </w:r>
      <w:r>
        <w:t xml:space="preserve">;</w:t>
      </w:r>
      <w:r>
        <w:t xml:space="preserve"> </w:t>
      </w:r>
      <w:r>
        <w:t xml:space="preserve">).</w:t>
      </w:r>
    </w:p>
    <w:p>
      <w:pPr>
        <w:pStyle w:val="BodyText"/>
      </w:pPr>
      <w:r>
        <w:rPr>
          <w:b/>
          <w:bCs/>
        </w:rPr>
        <w:t xml:space="preserve">Sampling.</w:t>
      </w:r>
      <w:r>
        <w:t xml:space="preserve"> </w:t>
      </w:r>
      <w:r>
        <w:t xml:space="preserve">All primary cells for one organism in the CELLxGENE Census [CZI Census 2025]</w:t>
      </w:r>
      <w:r>
        <w:t xml:space="preserve"> </w:t>
      </w:r>
      <w:r>
        <w:t xml:space="preserve">(</w:t>
      </w:r>
      <w:r>
        <w:rPr>
          <w:rStyle w:val="VerbatimChar"/>
        </w:rPr>
        <w:t xml:space="preserve">is_primary_data == True</w:t>
      </w:r>
      <w:r>
        <w:t xml:space="preserve">), stratified by</w:t>
      </w:r>
      <w:r>
        <w:t xml:space="preserve"> </w:t>
      </w:r>
      <w:r>
        <w:rPr>
          <w:rStyle w:val="VerbatimChar"/>
        </w:rPr>
        <w:t xml:space="preserve">cell_type</w:t>
      </w:r>
      <w:r>
        <w:t xml:space="preserve"> </w:t>
      </w:r>
      <w:r>
        <w:t xml:space="preserve">at a fixed cap per type — 40 for</w:t>
      </w:r>
      <w:r>
        <w:t xml:space="preserve"> </w:t>
      </w:r>
      <w:r>
        <w:rPr>
          <w:rStyle w:val="VerbatimChar"/>
        </w:rPr>
        <w:t xml:space="preserve">broad_human_v1</w:t>
      </w:r>
      <w:r>
        <w:t xml:space="preserve">, 60 for the later human and mouse pulls — dropping types with fewer than 12</w:t>
      </w:r>
      <w:r>
        <w:t xml:space="preserve"> </w:t>
      </w:r>
      <w:r>
        <w:t xml:space="preserve">cells and the uninformative labels (</w:t>
      </w:r>
      <w:r>
        <w:rPr>
          <w:rStyle w:val="VerbatimChar"/>
        </w:rPr>
        <w:t xml:space="preserve">unknown</w:t>
      </w:r>
      <w:r>
        <w:t xml:space="preserve">,</w:t>
      </w:r>
      <w:r>
        <w:t xml:space="preserve"> </w:t>
      </w:r>
      <w:r>
        <w:rPr>
          <w:rStyle w:val="VerbatimChar"/>
        </w:rPr>
        <w:t xml:space="preserve">native cell</w:t>
      </w:r>
      <w:r>
        <w:t xml:space="preserve">,</w:t>
      </w:r>
      <w:r>
        <w:t xml:space="preserve"> </w:t>
      </w:r>
      <w:r>
        <w:rPr>
          <w:rStyle w:val="VerbatimChar"/>
        </w:rPr>
        <w:t xml:space="preserve">eukaryotic cell</w:t>
      </w:r>
      <w:r>
        <w:t xml:space="preserve">,</w:t>
      </w:r>
      <w:r>
        <w:t xml:space="preserve"> </w:t>
      </w:r>
      <w:r>
        <w:rPr>
          <w:rStyle w:val="VerbatimChar"/>
        </w:rPr>
        <w:t xml:space="preserve">animal cell</w:t>
      </w:r>
      <w:r>
        <w:t xml:space="preserve">). The pull is checkpointed per batch of ten datasets and retried, since transient</w:t>
      </w:r>
      <w:r>
        <w:t xml:space="preserve"> </w:t>
      </w:r>
      <w:r>
        <w:t xml:space="preserve">TileDB/S3 read errors are routine at this scale. Both</w:t>
      </w:r>
      <w:r>
        <w:t xml:space="preserve"> </w:t>
      </w:r>
      <w:r>
        <w:rPr>
          <w:rStyle w:val="VerbatimChar"/>
        </w:rPr>
        <w:t xml:space="preserve">feature_id</w:t>
      </w:r>
      <w:r>
        <w:t xml:space="preserve"> </w:t>
      </w:r>
      <w:r>
        <w:t xml:space="preserve">(Ensembl) and</w:t>
      </w:r>
      <w:r>
        <w:t xml:space="preserve"> </w:t>
      </w:r>
      <w:r>
        <w:rPr>
          <w:rStyle w:val="VerbatimChar"/>
        </w:rPr>
        <w:t xml:space="preserve">feature_name</w:t>
      </w:r>
      <w:r>
        <w:t xml:space="preserve"> </w:t>
      </w:r>
      <w:r>
        <w:t xml:space="preserve">(symbol) are carried, because symbol-keyed consumers cannot use an</w:t>
      </w:r>
      <w:r>
        <w:t xml:space="preserve"> </w:t>
      </w:r>
      <w:r>
        <w:t xml:space="preserve">Ensembl-only pull.</w:t>
      </w:r>
      <w:r>
        <w:t xml:space="preserve"> </w:t>
      </w:r>
      <w:r>
        <w:rPr>
          <w:rStyle w:val="VerbatimChar"/>
        </w:rPr>
        <w:t xml:space="preserve">stable</w:t>
      </w:r>
      <w:r>
        <w:t xml:space="preserve"> </w:t>
      </w:r>
      <w:r>
        <w:t xml:space="preserve">is a moving pointer, so the resolved release is recorded; every</w:t>
      </w:r>
      <w:r>
        <w:t xml:space="preserve"> </w:t>
      </w:r>
      <w:r>
        <w:t xml:space="preserve">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w:t>
      </w:r>
      <w:r>
        <w:rPr>
          <w:rStyle w:val="VerbatimChar"/>
        </w:rPr>
        <w:t xml:space="preserve">medium-v1.5</w:t>
      </w:r>
      <w:r>
        <w:t xml:space="preserve">) embeds the reference once in</w:t>
      </w:r>
      <w:r>
        <w:t xml:space="preserve"> </w:t>
      </w:r>
      <w:r>
        <w:t xml:space="preserve">4,000-cell chunks; per-cell-type centroids are Ward-clustered into</w:t>
      </w:r>
      <w:r>
        <w:t xml:space="preserve"> </w:t>
      </w:r>
      <w:r>
        <w:rPr>
          <w:rStyle w:val="VerbatimChar"/>
        </w:rPr>
        <w:t xml:space="preserve">max(8, round(√n_types))</w:t>
      </w:r>
      <w:r>
        <w:t xml:space="preserve"> </w:t>
      </w:r>
      <w:r>
        <w:t xml:space="preserve">groups.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w:t>
      </w:r>
      <w:r>
        <w:rPr>
          <w:rStyle w:val="VerbatimChar"/>
        </w:rPr>
        <w:t xml:space="preserve">ontology_hierarchy.py</w:t>
      </w:r>
      <w:r>
        <w:t xml:space="preserve">). 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rPr>
          <w:rStyle w:val="VerbatimChar"/>
        </w:rPr>
        <w:t xml:space="preserve">min_prob</w:t>
      </w:r>
      <w:r>
        <w:t xml:space="preserve"> </w:t>
      </w:r>
      <w:r>
        <w:t xml:space="preserve">to</w:t>
      </w:r>
      <w:r>
        <w:t xml:space="preserve"> </w:t>
      </w:r>
      <w:r>
        <w:t xml:space="preserve">trade coverage against accuracy on kept cells — the table each shipped reference reports.</w:t>
      </w:r>
    </w:p>
    <w:p>
      <w:pPr>
        <w:pStyle w:val="BodyText"/>
      </w:pPr>
      <w:r>
        <w:rPr>
          <w:b/>
          <w:bCs/>
        </w:rPr>
        <w:t xml:space="preserve">Shipping and verification.</w:t>
      </w:r>
      <w:r>
        <w:t xml:space="preserve"> </w:t>
      </w:r>
      <w:r>
        <w:t xml:space="preserve">Each reference is written with a</w:t>
      </w:r>
      <w:r>
        <w:t xml:space="preserve"> </w:t>
      </w:r>
      <w:r>
        <w:rPr>
          <w:rStyle w:val="VerbatimChar"/>
        </w:rPr>
        <w:t xml:space="preserve">build_info.json</w:t>
      </w:r>
      <w:r>
        <w:t xml:space="preserve"> </w:t>
      </w:r>
      <w:r>
        <w:t xml:space="preserve">recording</w:t>
      </w:r>
      <w:r>
        <w:t xml:space="preserve"> </w:t>
      </w:r>
      <w:r>
        <w:t xml:space="preserve">census release, corpus sizes, hierarchy route, organism and calibration table. Because a</w:t>
      </w:r>
      <w:r>
        <w:t xml:space="preserve"> </w:t>
      </w:r>
      <w:r>
        <w:t xml:space="preserve">rebuild can train cleanly and annotate</w:t>
      </w:r>
      <w:r>
        <w:t xml:space="preserve"> </w:t>
      </w:r>
      <w:r>
        <w:rPr>
          <w:i/>
          <w:iCs/>
        </w:rPr>
        <w:t xml:space="preserve">worse</w:t>
      </w:r>
      <w:r>
        <w:t xml:space="preserve">, the previous reference is backed up and the</w:t>
      </w:r>
      <w:r>
        <w:t xml:space="preserve"> </w:t>
      </w:r>
      <w:r>
        <w:t xml:space="preserve">new one is scored on a held-out atlas before it is kept (</w:t>
      </w:r>
      <w:r>
        <w:rPr>
          <w:rStyle w:val="VerbatimChar"/>
        </w:rPr>
        <w:t xml:space="preserve">verify_reference.py</w:t>
      </w:r>
      <w:r>
        <w:t xml:space="preserve">). For</w:t>
      </w:r>
      <w:r>
        <w:t xml:space="preserve"> </w:t>
      </w:r>
      <w:r>
        <w:rPr>
          <w:rStyle w:val="VerbatimChar"/>
        </w:rPr>
        <w:t xml:space="preserve">broad_mouse_v1</w:t>
      </w:r>
      <w:r>
        <w:t xml:space="preserve"> </w:t>
      </w:r>
      <w:r>
        <w:t xml:space="preserve">the test set is carved from the census itself: two datasets are excluded from</w:t>
      </w:r>
      <w:r>
        <w:t xml:space="preserve"> </w:t>
      </w:r>
      <w:r>
        <w:t xml:space="preserve">the reference sample and re-pulled as the 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w:t>
      </w:r>
      <w:r>
        <w:t xml:space="preserve"> </w:t>
      </w:r>
      <w:r>
        <w:t xml:space="preserve">not merely held-out cells (</w:t>
      </w:r>
      <w:r>
        <w:rPr>
          <w:rStyle w:val="VerbatimChar"/>
        </w:rPr>
        <w:t xml:space="preserve">EXCLUDE_DATASETS</w:t>
      </w:r>
      <w:r>
        <w:t xml:space="preserve"> </w:t>
      </w:r>
      <w:r>
        <w:t xml:space="preserve">/</w:t>
      </w:r>
      <w:r>
        <w:t xml:space="preserve"> </w:t>
      </w:r>
      <w:r>
        <w:rPr>
          <w:rStyle w:val="VerbatimChar"/>
        </w:rPr>
        <w:t xml:space="preserve">ONLY_DATASETS</w:t>
      </w:r>
      <w:r>
        <w:t xml:space="preserve">).</w:t>
      </w:r>
    </w:p>
    <w:bookmarkEnd w:id="16"/>
    <w:bookmarkStart w:id="17"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w:t>
      </w:r>
      <w:r>
        <w:rPr>
          <w:rStyle w:val="VerbatimChar"/>
        </w:rPr>
        <w:t xml:space="preserve">distill_dump.py</w:t>
      </w:r>
      <w:r>
        <w:t xml:space="preserve">,</w:t>
      </w:r>
      <w:r>
        <w:t xml:space="preserve"> </w:t>
      </w:r>
      <w:r>
        <w:rPr>
          <w:rStyle w:val="VerbatimChar"/>
        </w:rPr>
        <w:t xml:space="preserve">.venv-panhuman</w:t>
      </w:r>
      <w:r>
        <w:t xml:space="preserve">). Pan-human Azimuth labels a corpus of</w:t>
      </w:r>
      <w:r>
        <w:t xml:space="preserve"> </w:t>
      </w:r>
      <w:r>
        <w:t xml:space="preserve">raw counts through its low-level API (</w:t>
      </w:r>
      <w:r>
        <w:rPr>
          <w:rStyle w:val="VerbatimChar"/>
        </w:rPr>
        <w:t xml:space="preserve">AzimuthNN_base</w:t>
      </w:r>
      <w:r>
        <w:t xml:space="preserve">, batch 8,192), which loads weights once</w:t>
      </w:r>
      <w:r>
        <w:t xml:space="preserve"> </w:t>
      </w:r>
      <w:r>
        <w:t xml:space="preserve">rather than per call. All eight levels are retained. Where the package cannot reconcile a</w:t>
      </w:r>
      <w:r>
        <w:t xml:space="preserve"> </w:t>
      </w:r>
      <w:r>
        <w:t xml:space="preserve">refined level with its coarser ones it blanks that column to boolean</w:t>
      </w:r>
      <w:r>
        <w:t xml:space="preserve"> </w:t>
      </w:r>
      <w:r>
        <w:rPr>
          <w:rStyle w:val="VerbatimChar"/>
        </w:rPr>
        <w:t xml:space="preserve">False</w:t>
      </w:r>
      <w:r>
        <w:t xml:space="preserve">;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w:t>
      </w:r>
      <w:r>
        <w:rPr>
          <w:rStyle w:val="VerbatimChar"/>
        </w:rPr>
        <w:t xml:space="preserve">distill_train.py</w:t>
      </w:r>
      <w:r>
        <w:t xml:space="preserve">, core venv). The student is a</w:t>
      </w:r>
      <w:r>
        <w:t xml:space="preserve"> </w:t>
      </w:r>
      <w:r>
        <w:rPr>
          <w:rStyle w:val="VerbatimChar"/>
        </w:rPr>
        <w:t xml:space="preserve">HierarchicalReferenceModel</w:t>
      </w:r>
      <w:r>
        <w:t xml:space="preserve"> </w:t>
      </w:r>
      <w:r>
        <w:t xml:space="preserve">whose</w:t>
      </w:r>
      <w:r>
        <w:t xml:space="preserve"> </w:t>
      </w:r>
      <w:r>
        <w:rPr>
          <w:b/>
          <w:bCs/>
        </w:rPr>
        <w:t xml:space="preserve">classes</w:t>
      </w:r>
      <w:r>
        <w:t xml:space="preserve"> </w:t>
      </w:r>
      <w:r>
        <w:t xml:space="preserve">are the teacher’s refined fine labels</w:t>
      </w:r>
      <w:r>
        <w:t xml:space="preserve"> </w:t>
      </w:r>
      <w:r>
        <w:t xml:space="preserve">(including its trained</w:t>
      </w:r>
      <w:r>
        <w:t xml:space="preserve"> </w:t>
      </w:r>
      <w:r>
        <w:rPr>
          <w:rStyle w:val="VerbatimChar"/>
        </w:rPr>
        <w:t xml:space="preserve">Unassigned</w:t>
      </w:r>
      <w:r>
        <w:t xml:space="preserve"> </w:t>
      </w:r>
      <w:r>
        <w:t xml:space="preserve">quality-control class) 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17"/>
    <w:bookmarkStart w:id="18"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rStyle w:val="VerbatimChar"/>
          <w:b/>
          <w:bCs/>
        </w:rPr>
        <w:t xml:space="preserve">min_prob</w:t>
      </w:r>
      <w:r>
        <w:rPr>
          <w:b/>
          <w:bCs/>
        </w:rPr>
        <w:t xml:space="preserve"> </w:t>
      </w:r>
      <w:r>
        <w:rPr>
          <w:b/>
          <w:bCs/>
        </w:rPr>
        <w:t xml:space="preserve">abstention.</w:t>
      </w:r>
      <w:r>
        <w:t xml:space="preserve"> </w:t>
      </w:r>
      <w:r>
        <w:t xml:space="preserve">Cells whose final probability is below the threshold are relabeled</w:t>
      </w:r>
      <w:r>
        <w:t xml:space="preserve"> </w:t>
      </w:r>
      <w:r>
        <w:rPr>
          <w:rStyle w:val="VerbatimChar"/>
        </w:rPr>
        <w:t xml:space="preserve">unknown</w:t>
      </w:r>
      <w:r>
        <w:t xml:space="preserve"> </w:t>
      </w:r>
      <w:r>
        <w:t xml:space="preserve">rather than forced to the nearest class. Calibrated per reference (§2.6).</w:t>
      </w:r>
    </w:p>
    <w:p>
      <w:pPr>
        <w:pStyle w:val="Compact"/>
        <w:numPr>
          <w:ilvl w:val="0"/>
          <w:numId w:val="1005"/>
        </w:numPr>
      </w:pPr>
      <w:r>
        <w:rPr>
          <w:rStyle w:val="VerbatimChar"/>
          <w:b/>
          <w:bCs/>
        </w:rPr>
        <w:t xml:space="preserve">refine_to_query</w:t>
      </w:r>
      <w:r>
        <w:rPr>
          <w:b/>
          <w:bCs/>
        </w:rPr>
        <w:t xml:space="preserve">.</w:t>
      </w:r>
      <w:r>
        <w:t xml:space="preserve"> </w:t>
      </w:r>
      <w:r>
        <w:t xml:space="preserve">The reference’s class set is masked to those classes the query’s own</w:t>
      </w:r>
      <w:r>
        <w:t xml:space="preserve"> </w:t>
      </w:r>
      <w:r>
        <w:t xml:space="preserve">predictions actually support, and the softmax renormalized — no ground truth, no retraining.</w:t>
      </w:r>
    </w:p>
    <w:p>
      <w:pPr>
        <w:pStyle w:val="Compact"/>
        <w:numPr>
          <w:ilvl w:val="0"/>
          <w:numId w:val="1005"/>
        </w:numPr>
      </w:pPr>
      <w:r>
        <w:rPr>
          <w:rStyle w:val="VerbatimChar"/>
          <w:b/>
          <w:bCs/>
        </w:rPr>
        <w:t xml:space="preserve">refine_to_tissue</w:t>
      </w:r>
      <w:r>
        <w:rPr>
          <w:b/>
          <w:bCs/>
        </w:rPr>
        <w:t xml:space="preserve">.</w:t>
      </w:r>
      <w:r>
        <w:t xml:space="preserve"> </w:t>
      </w:r>
      <w:r>
        <w:t xml:space="preserve">Classes are masked to those the census records in the given tissue,</w:t>
      </w:r>
      <w:r>
        <w:t xml:space="preserve"> </w:t>
      </w:r>
      <w:r>
        <w:t xml:space="preserve">while</w:t>
      </w:r>
      <w:r>
        <w:t xml:space="preserve"> </w:t>
      </w:r>
      <w:r>
        <w:rPr>
          <w:b/>
          <w:bCs/>
        </w:rPr>
        <w:t xml:space="preserve">pan-tissue</w:t>
      </w:r>
      <w:r>
        <w:t xml:space="preserve"> </w:t>
      </w:r>
      <w:r>
        <w:t xml:space="preserve">types (immune, endothelial, stromal) stay available everywhere, so</w:t>
      </w:r>
      <w:r>
        <w:t xml:space="preserve"> </w:t>
      </w:r>
      <w:r>
        <w:t xml:space="preserve">liver-resident T cells are unaffected. The per-class</w:t>
      </w:r>
      <w:r>
        <w:t xml:space="preserve"> </w:t>
      </w:r>
      <w:r>
        <w:rPr>
          <w:rStyle w:val="VerbatimChar"/>
        </w:rPr>
        <w:t xml:space="preserve">tissue_general</w:t>
      </w:r>
      <w:r>
        <w:t xml:space="preserve"> </w:t>
      </w:r>
      <w:r>
        <w:t xml:space="preserve">map is baked into the</w:t>
      </w:r>
      <w:r>
        <w:t xml:space="preserve"> </w:t>
      </w:r>
      <w:r>
        <w:t xml:space="preserve">shipped reference; tissue is passed explicitly or read from</w:t>
      </w:r>
      <w:r>
        <w:t xml:space="preserve"> </w:t>
      </w:r>
      <w:r>
        <w:rPr>
          <w:rStyle w:val="VerbatimChar"/>
        </w:rPr>
        <w:t xml:space="preserve">adata.obs</w:t>
      </w:r>
      <w:r>
        <w:t xml:space="preserve">, with common synonyms</w:t>
      </w:r>
      <w:r>
        <w:t xml:space="preserve"> </w:t>
      </w:r>
      <w:r>
        <w:t xml:space="preserve">(</w:t>
      </w:r>
      <w:r>
        <w:rPr>
          <w:rStyle w:val="VerbatimChar"/>
        </w:rPr>
        <w:t xml:space="preserve">PBMC</w:t>
      </w:r>
      <w:r>
        <w:t xml:space="preserve">→blood,</w:t>
      </w:r>
      <w:r>
        <w:t xml:space="preserve"> </w:t>
      </w:r>
      <w:r>
        <w:rPr>
          <w:rStyle w:val="VerbatimChar"/>
        </w:rPr>
        <w:t xml:space="preserve">hepatic</w:t>
      </w:r>
      <w:r>
        <w:t xml:space="preserve">→liver) recognized. A tissue outside the reference’s vocabulary</w:t>
      </w:r>
      <w:r>
        <w:t xml:space="preserve"> </w:t>
      </w:r>
      <w:r>
        <w:t xml:space="preserve">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 explain</w:t>
      </w:r>
      <w:r>
        <w:t xml:space="preserve">.</w:t>
      </w:r>
      <w:r>
        <w:t xml:space="preserve"> </w:t>
      </w:r>
      <w:r>
        <w:rPr>
          <w:rStyle w:val="VerbatimChar"/>
        </w:rPr>
        <w:t xml:space="preserve">detect_novel_celltypes</w:t>
      </w:r>
      <w:r>
        <w:t xml:space="preserve"> </w:t>
      </w:r>
      <w:r>
        <w:t xml:space="preserve">flags clusters that are both large enough to be a real population</w:t>
      </w:r>
      <w:r>
        <w:t xml:space="preserve"> </w:t>
      </w:r>
      <w:r>
        <w:t xml:space="preserve">(</w:t>
      </w:r>
      <w:r>
        <w:rPr>
          <w:rStyle w:val="VerbatimChar"/>
        </w:rPr>
        <w:t xml:space="preserve">min_cells</w:t>
      </w:r>
      <w:r>
        <w:t xml:space="preserve">) and predominantly low-confidence, and reports marker genes for each. This is</w:t>
      </w:r>
      <w:r>
        <w:t xml:space="preserve"> </w:t>
      </w:r>
      <w:r>
        <w:t xml:space="preserve">distinct from 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18"/>
    <w:bookmarkStart w:id="19"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point of interest is which curves cross.</w:t>
      </w:r>
    </w:p>
    <w:bookmarkEnd w:id="19"/>
    <w:bookmarkStart w:id="20"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r>
        <w:t xml:space="preserve">[Open Problems 2024] supplies the</w:t>
      </w:r>
      <w:r>
        <w:t xml:space="preserve"> </w:t>
      </w:r>
      <w:r>
        <w:t xml:space="preserve">datasets, metrics and ranking — none chosen by us. actinn-jax is packaged as a viash 0.9.7</w:t>
      </w:r>
      <w:r>
        <w:t xml:space="preserve"> </w:t>
      </w:r>
      <w:r>
        <w:t xml:space="preserve">component (</w:t>
      </w:r>
      <w:r>
        <w:rPr>
          <w:rStyle w:val="VerbatimChar"/>
        </w:rPr>
        <w:t xml:space="preserve">config.vsh.yaml</w:t>
      </w:r>
      <w:r>
        <w:t xml:space="preserve"> </w:t>
      </w:r>
      <w:r>
        <w:t xml:space="preserve">+</w:t>
      </w:r>
      <w:r>
        <w:t xml:space="preserve"> </w:t>
      </w:r>
      <w:r>
        <w:rPr>
          <w:rStyle w:val="VerbatimChar"/>
        </w:rPr>
        <w:t xml:space="preserve">script.py</w:t>
      </w:r>
      <w:r>
        <w:t xml:space="preserve">) declaring its</w:t>
      </w:r>
      <w:r>
        <w:t xml:space="preserve"> </w:t>
      </w:r>
      <w:r>
        <w:rPr>
          <w:rStyle w:val="VerbatimChar"/>
        </w:rPr>
        <w:t xml:space="preserve">preferred_normalization</w:t>
      </w:r>
      <w:r>
        <w:t xml:space="preserve">, and run</w:t>
      </w:r>
      <w:r>
        <w:t xml:space="preserve"> </w:t>
      </w:r>
      <w:r>
        <w:t xml:space="preserve">through the project’s own Nextflow 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Where matched-concurrency data is</w:t>
      </w:r>
      <w:r>
        <w:t xml:space="preserve"> </w:t>
      </w:r>
      <w:r>
        <w:t xml:space="preserve">missing, §3.7 reports coverage and memory and declines to report runtime ratios.</w:t>
      </w:r>
    </w:p>
    <w:bookmarkEnd w:id="20"/>
    <w:bookmarkStart w:id="21"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r>
        <w:t xml:space="preserve">[Rosen 2026] — an</w:t>
      </w:r>
      <w:r>
        <w:t xml:space="preserve"> </w:t>
      </w:r>
      <w:r>
        <w:t xml:space="preserve">expression-weighted mean of ESM2 [Lin 2023] protein-language-model gene embeddings — to test whether a foundation model’s value</w:t>
      </w:r>
      <w:r>
        <w:t xml:space="preserve"> </w:t>
      </w:r>
      <w:r>
        <w:t xml:space="preserve">survives a cheap pooling shortcut.</w:t>
      </w:r>
    </w:p>
    <w:bookmarkEnd w:id="21"/>
    <w:bookmarkEnd w:id="22"/>
    <w:bookmarkStart w:id="54" w:name="results"/>
    <w:p>
      <w:pPr>
        <w:pStyle w:val="Heading1"/>
      </w:pPr>
      <w:r>
        <w:t xml:space="preserve">Results</w:t>
      </w:r>
    </w:p>
    <w:bookmarkStart w:id="29" w:name="accuracy-and-cost"/>
    <w:p>
      <w:pPr>
        <w:pStyle w:val="Heading2"/>
      </w:pPr>
      <w:r>
        <w:t xml:space="preserve">Accuracy and cost</w:t>
      </w:r>
    </w:p>
    <w:p>
      <w:pPr>
        <w:pStyle w:val="FirstParagraph"/>
      </w:pPr>
      <w:r>
        <w:drawing>
          <wp:inline>
            <wp:extent cx="5334000" cy="4154905"/>
            <wp:effectExtent b="0" l="0" r="0" t="0"/>
            <wp:docPr descr="Accuracy by method (rows) and dataset (columns), in-house panel." title="" id="24" name="Picture"/>
            <a:graphic>
              <a:graphicData uri="http://schemas.openxmlformats.org/drawingml/2006/picture">
                <pic:pic>
                  <pic:nvPicPr>
                    <pic:cNvPr descr="/Users/iandriver/Downloads/actinn-jax-benchmark/docs/figures/fig_accuracy_heatmap.png" id="25" name="Picture"/>
                    <pic:cNvPicPr>
                      <a:picLocks noChangeArrowheads="1" noChangeAspect="1"/>
                    </pic:cNvPicPr>
                  </pic:nvPicPr>
                  <pic:blipFill>
                    <a:blip r:embed="rId23"/>
                    <a:stretch>
                      <a:fillRect/>
                    </a:stretch>
                  </pic:blipFill>
                  <pic:spPr bwMode="auto">
                    <a:xfrm>
                      <a:off x="0" y="0"/>
                      <a:ext cx="5334000" cy="4154905"/>
                    </a:xfrm>
                    <a:prstGeom prst="rect">
                      <a:avLst/>
                    </a:prstGeom>
                    <a:noFill/>
                    <a:ln w="9525">
                      <a:noFill/>
                      <a:headEnd/>
                      <a:tailEnd/>
                    </a:ln>
                  </pic:spPr>
                </pic:pic>
              </a:graphicData>
            </a:graphic>
          </wp:inline>
        </w:drawing>
      </w:r>
      <w:r>
        <w:t xml:space="preserve"> </w:t>
      </w:r>
      <w:r>
        <w:drawing>
          <wp:inline>
            <wp:extent cx="5334000" cy="1639186"/>
            <wp:effectExtent b="0" l="0" r="0" t="0"/>
            <wp:docPr descr="Per-query inference time and peak memory by method (in-house panel)." title="" id="27" name="Picture"/>
            <a:graphic>
              <a:graphicData uri="http://schemas.openxmlformats.org/drawingml/2006/picture">
                <pic:pic>
                  <pic:nvPicPr>
                    <pic:cNvPr descr="/Users/iandriver/Downloads/actinn-jax-benchmark/docs/figures/fig_speed_memory.png" id="28" name="Picture"/>
                    <pic:cNvPicPr>
                      <a:picLocks noChangeArrowheads="1" noChangeAspect="1"/>
                    </pic:cNvPicPr>
                  </pic:nvPicPr>
                  <pic:blipFill>
                    <a:blip r:embed="rId26"/>
                    <a:stretch>
                      <a:fillRect/>
                    </a:stretch>
                  </pic:blipFill>
                  <pic:spPr bwMode="auto">
                    <a:xfrm>
                      <a:off x="0" y="0"/>
                      <a:ext cx="5334000" cy="1639186"/>
                    </a:xfrm>
                    <a:prstGeom prst="rect">
                      <a:avLst/>
                    </a:prstGeom>
                    <a:noFill/>
                    <a:ln w="9525">
                      <a:noFill/>
                      <a:headEnd/>
                      <a:tailEnd/>
                    </a:ln>
                  </pic:spPr>
                </pic:pic>
              </a:graphicData>
            </a:graphic>
          </wp:inline>
        </w:drawing>
      </w:r>
    </w:p>
    <w:p>
      <w:pPr>
        <w:pStyle w:val="BodyText"/>
      </w:pPr>
      <w:r>
        <w:t xml:space="preserve">Accuracy and cost belong in one table: the finding is not where either lands, but how little</w:t>
      </w:r>
      <w:r>
        <w:t xml:space="preserve"> </w:t>
      </w:r>
      <w:r>
        <w:t xml:space="preserve">they relate. 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Ordered by accuracy:</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t xml:space="preserve">(*scANVI does most of its work in one train+predict pass, attributed to predict.)</w:t>
      </w:r>
    </w:p>
    <w:p>
      <w:pPr>
        <w:pStyle w:val="BodyText"/>
      </w:pPr>
      <w:r>
        <w:rPr>
          <w:b/>
          <w:bCs/>
        </w:rPr>
        <w:t xml:space="preserve">Read down the accuracy column, then across.</w:t>
      </w:r>
      <w:r>
        <w:t xml:space="preserve"> </w:t>
      </w:r>
      <w:r>
        <w:t xml:space="preserve">The top four span 0.008 in accuracy,</w:t>
      </w:r>
      <w:r>
        <w:t xml:space="preserve"> </w:t>
      </w:r>
      <w:r>
        <w:rPr>
          <w:b/>
          <w:bCs/>
        </w:rPr>
        <w:t xml:space="preserve">~130× in</w:t>
      </w:r>
      <w:r>
        <w:rPr>
          <w:b/>
          <w:bCs/>
        </w:rPr>
        <w:t xml:space="preserve"> </w:t>
      </w:r>
      <w:r>
        <w:rPr>
          <w:b/>
          <w:bCs/>
        </w:rPr>
        <w:t xml:space="preserve">predict time</w:t>
      </w:r>
      <w:r>
        <w:t xml:space="preserve"> </w:t>
      </w:r>
      <w:r>
        <w:t xml:space="preserve">(0.34 s to 89 s) and 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the table above,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29"/>
    <w:bookmarkStart w:id="33" w:name="the-accuracy-speed-frontier"/>
    <w:p>
      <w:pPr>
        <w:pStyle w:val="Heading2"/>
      </w:pPr>
      <w:r>
        <w:t xml:space="preserve">The accuracy × speed frontier</w:t>
      </w:r>
    </w:p>
    <w:p>
      <w:pPr>
        <w:pStyle w:val="CaptionedFigure"/>
      </w:pPr>
      <w:r>
        <w:drawing>
          <wp:inline>
            <wp:extent cx="5334000" cy="3671222"/>
            <wp:effectExtent b="0" l="0" r="0" t="0"/>
            <wp:docPr descr="Accuracy versus total wall time (liver_intra); actinn-jax sits on the fast frontier." title="" id="31" name="Picture"/>
            <a:graphic>
              <a:graphicData uri="http://schemas.openxmlformats.org/drawingml/2006/picture">
                <pic:pic>
                  <pic:nvPicPr>
                    <pic:cNvPr descr="/Users/iandriver/Downloads/actinn-jax-benchmark/docs/figures/fig_pareto_liver_intra.png" id="32" name="Picture"/>
                    <pic:cNvPicPr>
                      <a:picLocks noChangeArrowheads="1" noChangeAspect="1"/>
                    </pic:cNvPicPr>
                  </pic:nvPicPr>
                  <pic:blipFill>
                    <a:blip r:embed="rId30"/>
                    <a:stretch>
                      <a:fillRect/>
                    </a:stretch>
                  </pic:blipFill>
                  <pic:spPr bwMode="auto">
                    <a:xfrm>
                      <a:off x="0" y="0"/>
                      <a:ext cx="5334000" cy="3671222"/>
                    </a:xfrm>
                    <a:prstGeom prst="rect">
                      <a:avLst/>
                    </a:prstGeom>
                    <a:noFill/>
                    <a:ln w="9525">
                      <a:noFill/>
                      <a:headEnd/>
                      <a:tailEnd/>
                    </a:ln>
                  </pic:spPr>
                </pic:pic>
              </a:graphicData>
            </a:graphic>
          </wp:inline>
        </w:drawing>
      </w:r>
    </w:p>
    <w:p>
      <w:pPr>
        <w:pStyle w:val="ImageCaption"/>
      </w:pPr>
      <w:r>
        <w:t xml:space="preserve">Accuracy versus total wall time (liver_intra); actinn-jax sits on the fast frontier.</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in the tables above.</w:t>
      </w:r>
    </w:p>
    <w:bookmarkEnd w:id="33"/>
    <w:bookmarkStart w:id="37" w:name="scaling"/>
    <w:p>
      <w:pPr>
        <w:pStyle w:val="Heading2"/>
      </w:pPr>
      <w:r>
        <w:t xml:space="preserve">Scaling</w:t>
      </w:r>
    </w:p>
    <w:p>
      <w:pPr>
        <w:pStyle w:val="CaptionedFigure"/>
      </w:pPr>
      <w:r>
        <w:drawing>
          <wp:inline>
            <wp:extent cx="5334000" cy="1970216"/>
            <wp:effectExtent b="0" l="0" r="0" t="0"/>
            <wp:docPr descr="Fit and predict time versus reference size and cardinality; predict time stays flat and sub-second." title="" id="35" name="Picture"/>
            <a:graphic>
              <a:graphicData uri="http://schemas.openxmlformats.org/drawingml/2006/picture">
                <pic:pic>
                  <pic:nvPicPr>
                    <pic:cNvPr descr="/Users/iandriver/Downloads/actinn-jax-benchmark/docs/figures/fig_scaling.png" id="36" name="Picture"/>
                    <pic:cNvPicPr>
                      <a:picLocks noChangeArrowheads="1" noChangeAspect="1"/>
                    </pic:cNvPicPr>
                  </pic:nvPicPr>
                  <pic:blipFill>
                    <a:blip r:embed="rId34"/>
                    <a:stretch>
                      <a:fillRect/>
                    </a:stretch>
                  </pic:blipFill>
                  <pic:spPr bwMode="auto">
                    <a:xfrm>
                      <a:off x="0" y="0"/>
                      <a:ext cx="5334000" cy="1970216"/>
                    </a:xfrm>
                    <a:prstGeom prst="rect">
                      <a:avLst/>
                    </a:prstGeom>
                    <a:noFill/>
                    <a:ln w="9525">
                      <a:noFill/>
                      <a:headEnd/>
                      <a:tailEnd/>
                    </a:ln>
                  </pic:spPr>
                </pic:pic>
              </a:graphicData>
            </a:graphic>
          </wp:inline>
        </w:drawing>
      </w:r>
    </w:p>
    <w:p>
      <w:pPr>
        <w:pStyle w:val="ImageCaption"/>
      </w:pPr>
      <w:r>
        <w:t xml:space="preserve">Fit and predict time versus reference size and cardinality; predict time stays flat and sub-second.</w:t>
      </w:r>
    </w:p>
    <w:p>
      <w:pPr>
        <w:pStyle w:val="BodyText"/>
      </w:pPr>
      <w:r>
        <w:t xml:space="preserve">Training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37"/>
    <w:bookmarkStart w:id="42"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CaptionedFigure"/>
      </w:pPr>
      <w:r>
        <w:drawing>
          <wp:inline>
            <wp:extent cx="5334000" cy="2195377"/>
            <wp:effectExtent b="0" l="0" r="0" t="0"/>
            <wp:docPr descr="the broad pass and the focused pass on one query" title="" id="39" name="Picture"/>
            <a:graphic>
              <a:graphicData uri="http://schemas.openxmlformats.org/drawingml/2006/picture">
                <pic:pic>
                  <pic:nvPicPr>
                    <pic:cNvPr descr="/Users/iandriver/Downloads/actinn-jax-benchmark/docs/figures/fig_workflow_umap.png" id="40" name="Picture"/>
                    <pic:cNvPicPr>
                      <a:picLocks noChangeArrowheads="1" noChangeAspect="1"/>
                    </pic:cNvPicPr>
                  </pic:nvPicPr>
                  <pic:blipFill>
                    <a:blip r:embed="rId38"/>
                    <a:stretch>
                      <a:fillRect/>
                    </a:stretch>
                  </pic:blipFill>
                  <pic:spPr bwMode="auto">
                    <a:xfrm>
                      <a:off x="0" y="0"/>
                      <a:ext cx="5334000" cy="2195377"/>
                    </a:xfrm>
                    <a:prstGeom prst="rect">
                      <a:avLst/>
                    </a:prstGeom>
                    <a:noFill/>
                    <a:ln w="9525">
                      <a:noFill/>
                      <a:headEnd/>
                      <a:tailEnd/>
                    </a:ln>
                  </pic:spPr>
                </pic:pic>
              </a:graphicData>
            </a:graphic>
          </wp:inline>
        </w:drawing>
      </w:r>
    </w:p>
    <w:p>
      <w:pPr>
        <w:pStyle w:val="ImageCaption"/>
      </w:pPr>
      <w:r>
        <w:t xml:space="preserve">the broad pass and the focused pass on one query</w:t>
      </w:r>
    </w:p>
    <w:p>
      <w:pPr>
        <w:pStyle w:val="BodyText"/>
      </w:pPr>
      <w:r>
        <w:rPr>
          <w:b/>
          <w:bCs/>
        </w:rPr>
        <w:t xml:space="preserve">Figure 5.</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rPr>
          <w:rStyle w:val="VerbatimChar"/>
        </w:rPr>
        <w:t xml:space="preserve">liver_hlica_v2</w:t>
      </w:r>
      <w:r>
        <w:t xml:space="preserve"> </w:t>
      </w:r>
      <w:r>
        <w:t xml:space="preserve">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 the corpus, not the recipe, is what bounds it.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(90.5%</w:t>
      </w:r>
      <w:r>
        <w:t xml:space="preserve"> </w:t>
      </w:r>
      <w:r>
        <w:t xml:space="preserve">coverage at</w:t>
      </w:r>
      <w:r>
        <w:t xml:space="preserve"> </w:t>
      </w:r>
      <w:r>
        <w:rPr>
          <w:rStyle w:val="VerbatimChar"/>
        </w:rPr>
        <w:t xml:space="preserve">p ≥ 0.5</w:t>
      </w:r>
      <w:r>
        <w:t xml:space="preserve"> </w:t>
      </w:r>
      <w:r>
        <w:t xml:space="preserve">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that needs no GPU.</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w:t>
      </w:r>
      <w:hyperlink r:id="rId41">
        <w:r>
          <w:rPr>
            <w:rStyle w:val="VerbatimChar"/>
          </w:rPr>
          <w:t xml:space="preserve">results_hierarchy_ablation.csv</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random grouping, same group sizes</w:t>
            </w:r>
          </w:p>
        </w:tc>
        <w:tc>
          <w:tcPr/>
          <w:p>
            <w:pPr>
              <w:pStyle w:val="Compact"/>
              <w:jc w:val="right"/>
            </w:pPr>
            <w:r>
              <w:t xml:space="preserve">0.539</w:t>
            </w:r>
          </w:p>
        </w:tc>
      </w:tr>
      <w:tr>
        <w:tc>
          <w:tcPr/>
          <w:p>
            <w:pPr>
              <w:pStyle w:val="Compact"/>
            </w:pPr>
            <w:r>
              <w:t xml:space="preserve">flat, no hierarchy</w:t>
            </w:r>
          </w:p>
        </w:tc>
        <w:tc>
          <w:tcPr/>
          <w:p>
            <w:pPr>
              <w:pStyle w:val="Compact"/>
              <w:jc w:val="right"/>
            </w:pPr>
            <w:r>
              <w:t xml:space="preserve">0.547</w:t>
            </w:r>
          </w:p>
        </w:tc>
      </w:tr>
    </w:tbl>
    <w:p>
      <w:pPr>
        <w:pStyle w:val="BodyText"/>
      </w:pPr>
      <w:r>
        <w:t xml:space="preserve">Random lands on flat, so it is the structure doing the work rather than the mere presence of</w:t>
      </w:r>
      <w:r>
        <w:t xml:space="preserve"> </w:t>
      </w:r>
      <w:r>
        <w:t xml:space="preserve">groups. 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rPr>
                <w:rStyle w:val="VerbatimChar"/>
              </w:rPr>
              <w:t xml:space="preserve">min_prob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are worth stating on the spot.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two tiers switch; they do not stack</w:t>
      </w:r>
      <w:r>
        <w:t xml:space="preserve"> </w:t>
      </w:r>
      <w:r>
        <w:t xml:space="preserve">— we tested this and it is worth stating</w:t>
      </w:r>
      <w:r>
        <w:t xml:space="preserve"> </w:t>
      </w:r>
      <w:r>
        <w:t xml:space="preserve">plainly, because the opposite is the natural assumption. 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42"/>
    <w:bookmarkStart w:id="43"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43"/>
    <w:bookmarkStart w:id="44"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44"/>
    <w:bookmarkStart w:id="53"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45">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 [Chen &amp; Guestrin 2016] 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and where we add one ourselves it leads on accuracy and fit time (§3.1), so</w:t>
      </w:r>
      <w:r>
        <w:t xml:space="preserve"> </w:t>
      </w:r>
      <w:r>
        <w:t xml:space="preserve">this is a statement about the OP panel rather than a general one.</w:t>
      </w:r>
    </w:p>
    <w:p>
      <w:pPr>
        <w:pStyle w:val="BodyText"/>
      </w:pPr>
      <w:r>
        <w:rPr>
          <w:b/>
          <w:bCs/>
        </w:rPr>
        <w:t xml:space="preserve">Extension: our four added methods on the same harness.</w:t>
      </w:r>
      <w:r>
        <w:t xml:space="preserve"> </w:t>
      </w:r>
      <w:r>
        <w:t xml:space="preserve">We later ported the tuned linear</w:t>
      </w:r>
      <w:r>
        <w:t xml:space="preserve"> </w:t>
      </w:r>
      <w:r>
        <w:t xml:space="preserve">pipeline, scTOP, the SGD-SVM and CellTypist into Open Problems components and ran them</w:t>
      </w:r>
      <w:r>
        <w:t xml:space="preserve"> </w:t>
      </w:r>
      <w:r>
        <w:t xml:space="preserve">through the same pipeline on a fresh</w:t>
      </w:r>
      <w:r>
        <w:t xml:space="preserve"> </w:t>
      </w:r>
      <w:r>
        <w:rPr>
          <w:rStyle w:val="VerbatimChar"/>
        </w:rPr>
        <w:t xml:space="preserve">r7i.8xlarge</w:t>
      </w:r>
      <w:r>
        <w:t xml:space="preserve"> </w:t>
      </w:r>
      <w:r>
        <w:t xml:space="preserve">(</w:t>
      </w:r>
      <w:hyperlink r:id="rId46">
        <w:r>
          <w:rPr>
            <w:rStyle w:val="VerbatimChar"/>
          </w:rPr>
          <w:t xml:space="preserve">results_openproblems_samehw_v2.csv</w:t>
        </w:r>
      </w:hyperlink>
      <w:r>
        <w:t xml:space="preserve">, raw trace</w:t>
      </w:r>
      <w:r>
        <w:t xml:space="preserve"> </w:t>
      </w:r>
      <w:r>
        <w:t xml:space="preserve">archived alongside). All four run correctly on a harness we did not write, which is the</w:t>
      </w:r>
      <w:r>
        <w:t xml:space="preserve"> </w:t>
      </w:r>
      <w:r>
        <w:t xml:space="preserve">main thing this establishes; peak memory sits in the same 13–20 GB band as the incumbent</w:t>
      </w:r>
      <w:r>
        <w:t xml:space="preserve"> </w:t>
      </w:r>
      <w:r>
        <w:t xml:space="preserve">methods (xgboost is the outlier at 55 GB).</w:t>
      </w:r>
      <w:r>
        <w:t xml:space="preserve"> </w:t>
      </w:r>
      <w:r>
        <w:rPr>
          <w:b/>
          <w:bCs/>
        </w:rPr>
        <w:t xml:space="preserve">We do not report cross-method runtimes from</w:t>
      </w:r>
      <w:r>
        <w:rPr>
          <w:b/>
          <w:bCs/>
        </w:rPr>
        <w:t xml:space="preserve"> </w:t>
      </w:r>
      <w:r>
        <w:rPr>
          <w:b/>
          <w:bCs/>
        </w:rPr>
        <w:t xml:space="preserve">this run, and the reader should not infer them from the CSV.</w:t>
      </w:r>
      <w:r>
        <w:t xml:space="preserve"> </w:t>
      </w:r>
      <w:r>
        <w:t xml:space="preserve">Two confounds make the</w:t>
      </w:r>
      <w:r>
        <w:t xml:space="preserve"> </w:t>
      </w:r>
      <w:r>
        <w:t xml:space="preserve">wall-clock numbers non-comparable: the run used a higher task concurrency (6 vs 2), and the</w:t>
      </w:r>
      <w:r>
        <w:t xml:space="preserve"> </w:t>
      </w:r>
      <w:r>
        <w:t xml:space="preserve">methods differ enormously in how many cores they take — measured</w:t>
      </w:r>
      <w:r>
        <w:t xml:space="preserve"> </w:t>
      </w:r>
      <w:r>
        <w:rPr>
          <w:rStyle w:val="VerbatimChar"/>
        </w:rPr>
        <w:t xml:space="preserve">%cpu</w:t>
      </w:r>
      <w:r>
        <w:t xml:space="preserve"> </w:t>
      </w:r>
      <w:r>
        <w:t xml:space="preserve">ranges from</w:t>
      </w:r>
      <w:r>
        <w:t xml:space="preserve"> </w:t>
      </w:r>
      <w:r>
        <w:rPr>
          <w:b/>
          <w:bCs/>
        </w:rPr>
        <w:t xml:space="preserve">49%</w:t>
      </w:r>
      <w:r>
        <w:rPr>
          <w:b/>
          <w:bCs/>
        </w:rPr>
        <w:t xml:space="preserve"> </w:t>
      </w:r>
      <w:r>
        <w:rPr>
          <w:b/>
          <w:bCs/>
        </w:rPr>
        <w:t xml:space="preserve">for CellTypist (half a core) and 117% for</w:t>
      </w:r>
      <w:r>
        <w:rPr>
          <w:b/>
          <w:bCs/>
        </w:rPr>
        <w:t xml:space="preserve"> </w:t>
      </w:r>
      <w:r>
        <w:rPr>
          <w:rStyle w:val="VerbatimChar"/>
          <w:b/>
          <w:bCs/>
        </w:rPr>
        <w:t xml:space="preserve">mlp</w:t>
      </w:r>
      <w:r>
        <w:rPr>
          <w:b/>
          <w:bCs/>
        </w:rPr>
        <w:t xml:space="preserve"> </w:t>
      </w:r>
      <w:r>
        <w:rPr>
          <w:b/>
          <w:bCs/>
        </w:rPr>
        <w:t xml:space="preserve">(effectively single-threaded) to 2338% for</w:t>
      </w:r>
      <w:r>
        <w:rPr>
          <w:b/>
          <w:bCs/>
        </w:rPr>
        <w:t xml:space="preserve"> </w:t>
      </w:r>
      <w:r>
        <w:rPr>
          <w:b/>
          <w:bCs/>
        </w:rPr>
        <w:t xml:space="preserve">the linear pipeline (23 cores)</w:t>
      </w:r>
      <w:r>
        <w:t xml:space="preserve">. Wall-clock under those conditions measures threading and</w:t>
      </w:r>
      <w:r>
        <w:t xml:space="preserve"> </w:t>
      </w:r>
      <w:r>
        <w:t xml:space="preserve">contention as much as algorithmic cost. It also disagrees with the controlled run above for</w:t>
      </w:r>
      <w:r>
        <w:t xml:space="preserve"> </w:t>
      </w:r>
      <w:r>
        <w:t xml:space="preserve">two methods (</w:t>
      </w:r>
      <w:r>
        <w:rPr>
          <w:rStyle w:val="VerbatimChar"/>
        </w:rPr>
        <w:t xml:space="preserve">mlp</w:t>
      </w:r>
      <w:r>
        <w:t xml:space="preserve"> </w:t>
      </w:r>
      <w:r>
        <w:t xml:space="preserve">327 s → 769 s,</w:t>
      </w:r>
      <w:r>
        <w:t xml:space="preserve"> </w:t>
      </w:r>
      <w:r>
        <w:rPr>
          <w:rStyle w:val="VerbatimChar"/>
        </w:rPr>
        <w:t xml:space="preserve">cellmapper_linear</w:t>
      </w:r>
      <w:r>
        <w:t xml:space="preserve"> </w:t>
      </w:r>
      <w:r>
        <w:t xml:space="preserve">58 s → 717 s), which we flag rather</w:t>
      </w:r>
      <w:r>
        <w:t xml:space="preserve"> </w:t>
      </w:r>
      <w:r>
        <w:t xml:space="preserve">than reconcile: the table above, run at low concurrency, remains the cost comparison we</w:t>
      </w:r>
      <w:r>
        <w:t xml:space="preserve"> </w:t>
      </w:r>
      <w:r>
        <w:t xml:space="preserve">stand behind. Coverage was partial when a wall-clock budget stopped the run — six datasets</w:t>
      </w:r>
      <w:r>
        <w:t xml:space="preserve"> </w:t>
      </w:r>
      <w:r>
        <w:t xml:space="preserve">for the SVM and CellTypist, four for scTOP, three for the linear pipeline — so per-method</w:t>
      </w:r>
      <w:r>
        <w:t xml:space="preserve"> </w:t>
      </w:r>
      <w:r>
        <w:t xml:space="preserve">means over different dataset subsets would not be comparable 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CaptionedFigure"/>
      </w:pPr>
      <w:r>
        <w:drawing>
          <wp:inline>
            <wp:extent cx="5334000" cy="2139510"/>
            <wp:effectExtent b="0" l="0" r="0" t="0"/>
            <wp:docPr descr="actinn-jax accuracy and macro-F1 versus input gene budget across all six Open Problems datasets. More genes help most datasets but regress the fine-grained, domain-shifted tabula_sapiens." title="" id="48" name="Picture"/>
            <a:graphic>
              <a:graphicData uri="http://schemas.openxmlformats.org/drawingml/2006/picture">
                <pic:pic>
                  <pic:nvPicPr>
                    <pic:cNvPr descr="/Users/iandriver/Downloads/actinn-jax-benchmark/docs/figures/gene_budget_curve.png" id="49" name="Picture"/>
                    <pic:cNvPicPr>
                      <a:picLocks noChangeArrowheads="1" noChangeAspect="1"/>
                    </pic:cNvPicPr>
                  </pic:nvPicPr>
                  <pic:blipFill>
                    <a:blip r:embed="rId47"/>
                    <a:stretch>
                      <a:fillRect/>
                    </a:stretch>
                  </pic:blipFill>
                  <pic:spPr bwMode="auto">
                    <a:xfrm>
                      <a:off x="0" y="0"/>
                      <a:ext cx="5334000" cy="2139510"/>
                    </a:xfrm>
                    <a:prstGeom prst="rect">
                      <a:avLst/>
                    </a:prstGeom>
                    <a:noFill/>
                    <a:ln w="9525">
                      <a:noFill/>
                      <a:headEnd/>
                      <a:tailEnd/>
                    </a:ln>
                  </pic:spPr>
                </pic:pic>
              </a:graphicData>
            </a:graphic>
          </wp:inline>
        </w:drawing>
      </w:r>
    </w:p>
    <w:p>
      <w:pPr>
        <w:pStyle w:val="ImageCaption"/>
      </w:pPr>
      <w:r>
        <w:t xml:space="preserve">actinn-jax accuracy and macro-F1 versus input gene budget across all six Open Problems datasets. More genes help most datasets but regress the fine-grained, domain-shifted tabula_sapiens.</w:t>
      </w:r>
    </w:p>
    <w:p>
      <w:pPr>
        <w:pStyle w:val="CaptionedFigure"/>
      </w:pPr>
      <w:r>
        <w:drawing>
          <wp:inline>
            <wp:extent cx="5334000" cy="2293972"/>
            <wp:effectExtent b="0" l="0" r="0" t="0"/>
            <wp:docPr descr="Label-free signals for setting the gene budget without test labels. Held-out reference cross-validation and query-cells-per-class both single out tabula_sapiens (where more genes hurt)." title="" id="51" name="Picture"/>
            <a:graphic>
              <a:graphicData uri="http://schemas.openxmlformats.org/drawingml/2006/picture">
                <pic:pic>
                  <pic:nvPicPr>
                    <pic:cNvPr descr="/Users/iandriver/Downloads/actinn-jax-benchmark/docs/figures/gene_budget_signals.png" id="52" name="Picture"/>
                    <pic:cNvPicPr>
                      <a:picLocks noChangeArrowheads="1" noChangeAspect="1"/>
                    </pic:cNvPicPr>
                  </pic:nvPicPr>
                  <pic:blipFill>
                    <a:blip r:embed="rId50"/>
                    <a:stretch>
                      <a:fillRect/>
                    </a:stretch>
                  </pic:blipFill>
                  <pic:spPr bwMode="auto">
                    <a:xfrm>
                      <a:off x="0" y="0"/>
                      <a:ext cx="5334000" cy="2293972"/>
                    </a:xfrm>
                    <a:prstGeom prst="rect">
                      <a:avLst/>
                    </a:prstGeom>
                    <a:noFill/>
                    <a:ln w="9525">
                      <a:noFill/>
                      <a:headEnd/>
                      <a:tailEnd/>
                    </a:ln>
                  </pic:spPr>
                </pic:pic>
              </a:graphicData>
            </a:graphic>
          </wp:inline>
        </w:drawing>
      </w:r>
    </w:p>
    <w:p>
      <w:pPr>
        <w:pStyle w:val="ImageCaption"/>
      </w:pPr>
      <w:r>
        <w:t xml:space="preserve">Label-free signals for setting the gene budget without test labels. Held-out reference cross-validation and query-cells-per-class both single out tabula_sapiens (where more genes hurt).</w:t>
      </w:r>
    </w:p>
    <w:bookmarkEnd w:id="53"/>
    <w:bookmarkEnd w:id="54"/>
    <w:bookmarkStart w:id="55"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 [Souza &amp; Mehta 2026] 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whose out-of-distribution behaviour degrades gracefully is</w:t>
      </w:r>
      <w:r>
        <w:t xml:space="preserve"> </w:t>
      </w:r>
      <w:r>
        <w:t xml:space="preserve">one whose confidence can be thresholded.</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tier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55"/>
    <w:bookmarkStart w:id="56"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 and</w:t>
      </w:r>
      <w:r>
        <w:rPr>
          <w:b/>
          <w:bCs/>
        </w:rPr>
        <w:t xml:space="preserve"> </w:t>
      </w:r>
      <w:r>
        <w:rPr>
          <w:b/>
          <w:bCs/>
        </w:rPr>
        <w:t xml:space="preserve">we learned this the expensive way.</w:t>
      </w:r>
      <w:r>
        <w:t xml:space="preserve"> </w:t>
      </w:r>
      <w:r>
        <w:t xml:space="preserve">A follow-up run that added our four components to the</w:t>
      </w:r>
      <w:r>
        <w:t xml:space="preserve"> </w:t>
      </w:r>
      <w:r>
        <w:t xml:space="preserve">OP harness (§3.7) used higher task concurrency and produced runtimes that disagree with</w:t>
      </w:r>
      <w:r>
        <w:t xml:space="preserve"> </w:t>
      </w:r>
      <w:r>
        <w:t xml:space="preserve">the controlled run by up to 12× for the same method. Measured</w:t>
      </w:r>
      <w:r>
        <w:t xml:space="preserve"> </w:t>
      </w:r>
      <w:r>
        <w:rPr>
          <w:rStyle w:val="VerbatimChar"/>
        </w:rPr>
        <w:t xml:space="preserve">%cpu</w:t>
      </w:r>
      <w:r>
        <w:t xml:space="preserve"> </w:t>
      </w:r>
      <w:r>
        <w:t xml:space="preserve">across methods spans</w:t>
      </w:r>
      <w:r>
        <w:t xml:space="preserve"> </w:t>
      </w:r>
      <w:r>
        <w:t xml:space="preserve">49% to 2338% — some are single-threaded, some saturate 23 cores — so any wall-clock</w:t>
      </w:r>
      <w:r>
        <w:t xml:space="preserve"> </w:t>
      </w:r>
      <w:r>
        <w:t xml:space="preserve">ranking silently ranks threading and scheduler contention alongside algorithm. The</w:t>
      </w:r>
      <w:r>
        <w:t xml:space="preserve"> </w:t>
      </w:r>
      <w:r>
        <w:t xml:space="preserve">controlled low-concurrency run is the one we report; the extension establishes only that</w:t>
      </w:r>
      <w:r>
        <w:t xml:space="preserve"> </w:t>
      </w:r>
      <w:r>
        <w:t xml:space="preserve">the components run and what memory they need.</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12-method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7"/>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w:t>
      </w:r>
      <w:r>
        <w:t xml:space="preserve"> </w:t>
      </w:r>
      <w:r>
        <w:rPr>
          <w:rStyle w:val="VerbatimChar"/>
        </w:rPr>
        <w:t xml:space="preserve">SelectKBest(k=20000)</w:t>
      </w:r>
      <w:r>
        <w:t xml:space="preserve"> </w:t>
      </w:r>
      <w:r>
        <w:t xml:space="preserve">caps the dense</w:t>
      </w:r>
      <w:r>
        <w:t xml:space="preserve"> </w:t>
      </w:r>
      <w:r>
        <w:t xml:space="preserve">matrix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7"/>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56"/>
    <w:bookmarkStart w:id="63"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 </w:t>
      </w:r>
      <w:r>
        <w:t xml:space="preserve">and</w:t>
      </w:r>
      <w:r>
        <w:t xml:space="preserve"> </w:t>
      </w:r>
      <w:r>
        <w:rPr>
          <w:rStyle w:val="VerbatimChar"/>
        </w:rPr>
        <w:t xml:space="preserve">docs/results_*.csv</w:t>
      </w:r>
      <w:r>
        <w:t xml:space="preserve">, which</w:t>
      </w:r>
      <w:r>
        <w:t xml:space="preserve"> </w:t>
      </w:r>
      <w:r>
        <w:t xml:space="preserve">include the unified 11-method matrix), figure scripts, and the actinn-jax package</w:t>
      </w:r>
      <w:r>
        <w:t xml:space="preserve"> </w:t>
      </w:r>
      <w:r>
        <w:t xml:space="preserve">(</w:t>
      </w:r>
      <w:hyperlink r:id="rId57">
        <w:r>
          <w:rPr>
            <w:rStyle w:val="Hyperlink"/>
          </w:rPr>
          <w:t xml:space="preserve">github.com/iandriver/actinn-jax</w:t>
        </w:r>
      </w:hyperlink>
      <w:r>
        <w:t xml:space="preserve">) are in these</w:t>
      </w:r>
      <w:r>
        <w:t xml:space="preserve"> </w:t>
      </w:r>
      <w:r>
        <w:t xml:space="preserve">two repositories. Rebuilding the shipped broad reference is a single documented command</w:t>
      </w:r>
      <w:r>
        <w:t xml:space="preserve"> </w:t>
      </w:r>
      <w:r>
        <w:t xml:space="preserve">(</w:t>
      </w:r>
      <w:r>
        <w:rPr>
          <w:rStyle w:val="VerbatimChar"/>
        </w:rPr>
        <w:t xml:space="preserve">benchmark/explore/update_broad_reference.sh</w:t>
      </w:r>
      <w:r>
        <w:t xml:space="preserve">);</w:t>
      </w:r>
      <w:r>
        <w:t xml:space="preserve"> </w:t>
      </w:r>
      <w:r>
        <w:t xml:space="preserve">the distilled broad-pass reference is built by</w:t>
      </w:r>
      <w:r>
        <w:t xml:space="preserve"> </w:t>
      </w:r>
      <w:r>
        <w:rPr>
          <w:rStyle w:val="VerbatimChar"/>
        </w:rPr>
        <w:t xml:space="preserve">distill_dump.py</w:t>
      </w:r>
      <w:r>
        <w:t xml:space="preserve"> </w:t>
      </w:r>
      <w:r>
        <w:t xml:space="preserve">→</w:t>
      </w:r>
      <w:r>
        <w:t xml:space="preserve"> </w:t>
      </w:r>
      <w:r>
        <w:rPr>
          <w:rStyle w:val="VerbatimChar"/>
        </w:rPr>
        <w:t xml:space="preserve">distill_train.py</w:t>
      </w:r>
      <w:r>
        <w:t xml:space="preserve">; the pan-mouse reference and the</w:t>
      </w:r>
      <w:r>
        <w:t xml:space="preserve"> </w:t>
      </w:r>
      <w:r>
        <w:t xml:space="preserve">Cell-Ontology hierarchy it depends on are documented in the same repository.</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58">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59">
        <w:r>
          <w:rPr>
            <w:rStyle w:val="Hyperlink"/>
          </w:rPr>
          <w:t xml:space="preserve">10.5281/zenodo.21688150</w:t>
        </w:r>
      </w:hyperlink>
      <w:r>
        <w:t xml:space="preserve"> </w:t>
      </w:r>
      <w:r>
        <w:t xml:space="preserve">for the</w:t>
      </w:r>
      <w:r>
        <w:t xml:space="preserve"> </w:t>
      </w:r>
      <w:r>
        <w:t xml:space="preserve">latest version). actinn-jax’s</w:t>
      </w:r>
      <w:r>
        <w:t xml:space="preserve"> </w:t>
      </w:r>
      <w:r>
        <w:rPr>
          <w:rStyle w:val="VerbatimChar"/>
        </w:rPr>
        <w:t xml:space="preserve">bundled_reference</w:t>
      </w:r>
      <w:r>
        <w:t xml:space="preserve"> </w:t>
      </w:r>
      <w:r>
        <w:t xml:space="preserve">downloads and caches them on first</w:t>
      </w:r>
      <w:r>
        <w:t xml:space="preserve"> </w:t>
      </w:r>
      <w:r>
        <w:t xml:space="preserve">use, so no manual retrieval is needed;</w:t>
      </w:r>
      <w:r>
        <w:t xml:space="preserve"> </w:t>
      </w:r>
      <w:r>
        <w:rPr>
          <w:rStyle w:val="VerbatimChar"/>
        </w:rPr>
        <w:t xml:space="preserve">actinn-jax fetch</w:t>
      </w:r>
      <w:r>
        <w:t xml:space="preserve"> </w:t>
      </w:r>
      <w:r>
        <w:t xml:space="preserve">pre-downloads for offline use.</w:t>
      </w:r>
    </w:p>
    <w:p>
      <w:pPr>
        <w:pStyle w:val="BodyText"/>
      </w:pPr>
      <w:r>
        <w:t xml:space="preserve">HLiCA data © Edgar et al. 2026 (CC-BY 4.0), [doi:10.64898/2026.06.30.735539].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60">
        <w:r>
          <w:rPr>
            <w:rStyle w:val="Hyperlink"/>
          </w:rPr>
          <w:t xml:space="preserve">doi:10.64898/2026.07.16.738997</w:t>
        </w:r>
      </w:hyperlink>
      <w:r>
        <w:t xml:space="preserve">); its weights are</w:t>
      </w:r>
      <w:r>
        <w:t xml:space="preserve"> </w:t>
      </w:r>
      <w:r>
        <w:t xml:space="preserve">© the authors under</w:t>
      </w:r>
      <w:r>
        <w:t xml:space="preserve"> </w:t>
      </w:r>
      <w:hyperlink r:id="rId61">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62">
        <w:r>
          <w:rPr>
            <w:rStyle w:val="Hyperlink"/>
          </w:rPr>
          <w:t xml:space="preserve">Zenodo</w:t>
        </w:r>
      </w:hyperlink>
      <w:r>
        <w:t xml:space="preserve">. Attribution is a</w:t>
      </w:r>
      <w:r>
        <w:t xml:space="preserve"> </w:t>
      </w:r>
      <w:r>
        <w:t xml:space="preserve">condition of that licence and travels inside the shipped model’s</w:t>
      </w:r>
      <w:r>
        <w:t xml:space="preserve"> </w:t>
      </w:r>
      <w:r>
        <w:rPr>
          <w:rStyle w:val="VerbatimChar"/>
        </w:rPr>
        <w:t xml:space="preserve">build_info.json</w:t>
      </w:r>
      <w:r>
        <w:t xml:space="preserve">.</w:t>
      </w:r>
    </w:p>
    <w:bookmarkEnd w:id="63"/>
    <w:bookmarkStart w:id="64"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 doi:10.1186/s13059-019-1795-z.</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 doi:10.1038/s41586-026-10627-z.</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 doi:10.1038/s41590-018-0276-y.</w:t>
      </w:r>
    </w:p>
    <w:p>
      <w:pPr>
        <w:pStyle w:val="Compact"/>
        <w:numPr>
          <w:ilvl w:val="0"/>
          <w:numId w:val="1008"/>
        </w:numPr>
      </w:pPr>
      <w:r>
        <w:t xml:space="preserve">Bradbury J, et al. JAX: composable transformations of Python+NumPy programs (2018). github.com/google/jax.</w:t>
      </w:r>
    </w:p>
    <w:p>
      <w:pPr>
        <w:pStyle w:val="Compact"/>
        <w:numPr>
          <w:ilvl w:val="0"/>
          <w:numId w:val="1008"/>
        </w:numPr>
      </w:pPr>
      <w:r>
        <w:t xml:space="preserve">CZI Cell Science Program. CZ CELLxGENE Discover Census, LTS release 2025-11-08. chanzuckerberg.github.io/cellxgene-census.</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 doi:10.1126/science.abl5197.</w:t>
      </w:r>
    </w:p>
    <w:p>
      <w:pPr>
        <w:pStyle w:val="Compact"/>
        <w:numPr>
          <w:ilvl w:val="0"/>
          <w:numId w:val="1008"/>
        </w:numPr>
      </w:pPr>
      <w:r>
        <w:t xml:space="preserve">Edgar R, et al. The Human Liver Cell Atlas (HLiCA).</w:t>
      </w:r>
      <w:r>
        <w:t xml:space="preserve"> </w:t>
      </w:r>
      <w:r>
        <w:rPr>
          <w:i/>
          <w:iCs/>
        </w:rPr>
        <w:t xml:space="preserve">bioRxiv</w:t>
      </w:r>
      <w:r>
        <w:t xml:space="preserve"> </w:t>
      </w:r>
      <w:r>
        <w:t xml:space="preserve">(2026). doi:10.64898/2026.06.30.735539.</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 doi:10.1016/j.xgen.2026.101217.</w:t>
      </w:r>
    </w:p>
    <w:p>
      <w:pPr>
        <w:pStyle w:val="Compact"/>
        <w:numPr>
          <w:ilvl w:val="0"/>
          <w:numId w:val="1008"/>
        </w:numPr>
      </w:pPr>
      <w:r>
        <w:t xml:space="preserve">Huang Q, et al. Benchmarking single-cell cell-type annotation methods.</w:t>
      </w:r>
      <w:r>
        <w:t xml:space="preserve"> </w:t>
      </w:r>
      <w:r>
        <w:rPr>
          <w:i/>
          <w:iCs/>
        </w:rPr>
        <w:t xml:space="preserve">Briefings in Bioinformatics</w:t>
      </w:r>
      <w:r>
        <w:t xml:space="preserve"> </w:t>
      </w:r>
      <w:r>
        <w:t xml:space="preserve">25(5):bbae392 (2024).</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(2025). doi:10.1038/s41467-025-58699-1.</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 doi:10.1038/nmeth.4644.</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 doi:10.1126/science.ade2574.</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 doi:10.1038/s41587-021-01001-7.</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 doi:10.1093/bioinformatics/btz592.</w:t>
      </w:r>
    </w:p>
    <w:p>
      <w:pPr>
        <w:pStyle w:val="Compact"/>
        <w:numPr>
          <w:ilvl w:val="0"/>
          <w:numId w:val="1008"/>
        </w:numPr>
      </w:pPr>
      <w:r>
        <w:t xml:space="preserve">Open Problems for Single-Cell Analysis Consortium. Open Problems: a living benchmark for single-cell analysis. openproblems.bio (2024).</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p>
    <w:p>
      <w:pPr>
        <w:pStyle w:val="Compact"/>
        <w:numPr>
          <w:ilvl w:val="0"/>
          <w:numId w:val="1008"/>
        </w:numPr>
      </w:pPr>
      <w:r>
        <w:t xml:space="preserve">Rosen Y, et al. Universal cell embeddings: a foundation model for cell biology (UCE).</w:t>
      </w:r>
      <w:r>
        <w:t xml:space="preserve"> </w:t>
      </w:r>
      <w:r>
        <w:rPr>
          <w:i/>
          <w:iCs/>
        </w:rPr>
        <w:t xml:space="preserve">Nature</w:t>
      </w:r>
      <w:r>
        <w:t xml:space="preserve"> </w:t>
      </w:r>
      <w:r>
        <w:t xml:space="preserve">(2026). doi:10.1038/s41586-026-10689-z.</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 doi:10.64898/2026.07.16.738997.</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 doi:10.1038/s41591-023-02327-2.</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 doi:10.64898/2026.02.11.705358.</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 doi:10.1038/s41586-020-2922-4.</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 doi:10.15252/msb.20209620.</w:t>
      </w:r>
    </w:p>
    <w:p>
      <w:pPr>
        <w:pStyle w:val="Compact"/>
        <w:numPr>
          <w:ilvl w:val="0"/>
          <w:numId w:val="1008"/>
        </w:numPr>
      </w:pPr>
      <w:r>
        <w:t xml:space="preserve">Yampolskaya M, Souza H, et al. scTOP: cell identity from single-cell data via parameter-free projection. github.com/Emergent-Behaviors-in-Biology/scTOP.</w:t>
      </w:r>
    </w:p>
    <w:p>
      <w:pPr>
        <w:pStyle w:val="Compact"/>
        <w:numPr>
          <w:ilvl w:val="0"/>
          <w:numId w:val="1008"/>
        </w:numPr>
      </w:pPr>
      <w:r>
        <w:t xml:space="preserve">Munroe R. Standards.</w:t>
      </w:r>
      <w:r>
        <w:t xml:space="preserve"> </w:t>
      </w:r>
      <w:r>
        <w:rPr>
          <w:i/>
          <w:iCs/>
        </w:rPr>
        <w:t xml:space="preserve">xkcd</w:t>
      </w:r>
      <w:r>
        <w:t xml:space="preserve"> </w:t>
      </w:r>
      <w:r>
        <w:t xml:space="preserve">927. xkcd.com/927.</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hyperlink" Id="rId11" Target="../benchmark/adapters/panhuman_adapter.py" TargetMode="External" /><Relationship Type="http://schemas.openxmlformats.org/officeDocument/2006/relationships/hyperlink" Id="rId61" Target="https://creativecommons.org/licenses/by/4.0/" TargetMode="External" /><Relationship Type="http://schemas.openxmlformats.org/officeDocument/2006/relationships/hyperlink" Id="rId62" Target="https://doi.org/10.5281/zenodo.20401417" TargetMode="External" /><Relationship Type="http://schemas.openxmlformats.org/officeDocument/2006/relationships/hyperlink" Id="rId59" Target="https://doi.org/10.5281/zenodo.21688150" TargetMode="External" /><Relationship Type="http://schemas.openxmlformats.org/officeDocument/2006/relationships/hyperlink" Id="rId58" Target="https://doi.org/10.5281/zenodo.21688151" TargetMode="External" /><Relationship Type="http://schemas.openxmlformats.org/officeDocument/2006/relationships/hyperlink" Id="rId60" Target="https://doi.org/10.64898/2026.07.16.738997" TargetMode="External" /><Relationship Type="http://schemas.openxmlformats.org/officeDocument/2006/relationships/hyperlink" Id="rId57" Target="https://github.com/iandriver/actinn-jax" TargetMode="External" /><Relationship Type="http://schemas.openxmlformats.org/officeDocument/2006/relationships/hyperlink" Id="rId45" Target="https://openproblems.bio/benchmarks/label_projection" TargetMode="External" /><Relationship Type="http://schemas.openxmlformats.org/officeDocument/2006/relationships/hyperlink" Id="rId41" Target="results_hierarchy_ablation.csv" TargetMode="External" /><Relationship Type="http://schemas.openxmlformats.org/officeDocument/2006/relationships/hyperlink" Id="rId46" Target="results_openproblems_samehw_v2.csv" TargetMode="External" /></Relationships>
</file>

<file path=word/_rels/footnotes.xml.rels><?xml version="1.0" encoding="UTF-8"?><Relationships xmlns="http://schemas.openxmlformats.org/package/2006/relationships"><Relationship Type="http://schemas.openxmlformats.org/officeDocument/2006/relationships/hyperlink" Id="rId11" Target="../benchmark/adapters/panhuman_adapter.py" TargetMode="External" /><Relationship Type="http://schemas.openxmlformats.org/officeDocument/2006/relationships/hyperlink" Id="rId61" Target="https://creativecommons.org/licenses/by/4.0/" TargetMode="External" /><Relationship Type="http://schemas.openxmlformats.org/officeDocument/2006/relationships/hyperlink" Id="rId62" Target="https://doi.org/10.5281/zenodo.20401417" TargetMode="External" /><Relationship Type="http://schemas.openxmlformats.org/officeDocument/2006/relationships/hyperlink" Id="rId59" Target="https://doi.org/10.5281/zenodo.21688150" TargetMode="External" /><Relationship Type="http://schemas.openxmlformats.org/officeDocument/2006/relationships/hyperlink" Id="rId58" Target="https://doi.org/10.5281/zenodo.21688151" TargetMode="External" /><Relationship Type="http://schemas.openxmlformats.org/officeDocument/2006/relationships/hyperlink" Id="rId60" Target="https://doi.org/10.64898/2026.07.16.738997" TargetMode="External" /><Relationship Type="http://schemas.openxmlformats.org/officeDocument/2006/relationships/hyperlink" Id="rId57" Target="https://github.com/iandriver/actinn-jax" TargetMode="External" /><Relationship Type="http://schemas.openxmlformats.org/officeDocument/2006/relationships/hyperlink" Id="rId45" Target="https://openproblems.bio/benchmarks/label_projection" TargetMode="External" /><Relationship Type="http://schemas.openxmlformats.org/officeDocument/2006/relationships/hyperlink" Id="rId41" Target="results_hierarchy_ablation.csv" TargetMode="External" /><Relationship Type="http://schemas.openxmlformats.org/officeDocument/2006/relationships/hyperlink" Id="rId46" Target="results_openproblems_samehw_v2.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2026-08-03T14:25:32Z</dcterms:created>
  <dcterms:modified xsi:type="dcterms:W3CDTF">2026-08-03T14:25:32Z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hierarchy derived from the Cell Ontology, which removes the GPU step from building a reference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tier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