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for</w:t>
      </w:r>
      <w:r>
        <w:t xml:space="preserve"> </w:t>
      </w:r>
      <w:r>
        <w:t xml:space="preserve">eleven methods on three 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 Deriving the hierarchy from Cell Ontology lineage instead of a foundation-model embedding</w:t>
      </w:r>
      <w:r>
        <w:t xml:space="preserve"> </w:t>
      </w:r>
      <w:r>
        <w:t xml:space="preserve">removes the GPU from the build entirely, and beats both no hierarchy (0.616 vs 0.547) and a</w:t>
      </w:r>
      <w:r>
        <w:t xml:space="preserve"> </w:t>
      </w:r>
      <w:r>
        <w:t xml:space="preserve">same-sized random grouping (0.539). That route also extends to a second organism: a pan-mouse</w:t>
      </w:r>
      <w:r>
        <w:t xml:space="preserve"> </w:t>
      </w:r>
      <w:r>
        <w:t xml:space="preserve">reference of 453 types across 85 tissues reaches 0.638 ontology concordance on two withheld</w:t>
      </w:r>
      <w:r>
        <w:t xml:space="preserve"> </w:t>
      </w:r>
      <w:r>
        <w:t xml:space="preserve">datasets after 17 s of CPU.</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2026-08-09T18:50:03Z</dcterms:created>
  <dcterms:modified xsi:type="dcterms:W3CDTF">2026-08-09T18:50:03Z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