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2.png" ContentType="image/png"/>
  <Override PartName="/word/media/rId56.png" ContentType="image/png"/>
  <Override PartName="/word/media/rId64.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benchmark of annotation methods and practical low-memory workflows, with actinn-jax</w:t>
      </w:r>
    </w:p>
    <w:p>
      <w:pPr>
        <w:pStyle w:val="Author"/>
      </w:pPr>
      <w:r>
        <w:t xml:space="preserve">Ian Driver</w:t>
      </w:r>
    </w:p>
    <w:p>
      <w:pPr>
        <w:pStyle w:val="AbstractTitle"/>
      </w:pPr>
      <w:r>
        <w:t xml:space="preserve">Abstract</w:t>
      </w:r>
    </w:p>
    <w:p>
      <w:pPr>
        <w:pStyle w:val="Abstract"/>
      </w:pPr>
      <w:r>
        <w:t xml:space="preserve">Reference-based cell-type annotation is a routine, high-volume step in single-cell analysis, and most labs run it on a laptop, not a GPU cluster. We present</w:t>
      </w:r>
      <w:r>
        <w:t xml:space="preserve"> </w:t>
      </w:r>
      <w:r>
        <w:rPr>
          <w:b/>
          <w:bCs/>
        </w:rPr>
        <w:t xml:space="preserve">actinn-jax</w:t>
      </w:r>
      <w:r>
        <w:t xml:space="preserve">, a from-scratch JAX reimplementation of ACTINN (a 4-layer MLP classifier) with a sparse-aware pipeline and a train-once/map-many cached reference model, and use it as the occasion for a neutral benchmark of</w:t>
      </w:r>
      <w:r>
        <w:t xml:space="preserve"> </w:t>
      </w:r>
      <w:r>
        <w:rPr>
          <w:b/>
          <w:bCs/>
        </w:rPr>
        <w:t xml:space="preserve">thirteen</w:t>
      </w:r>
      <w:r>
        <w:t xml:space="preserve"> </w:t>
      </w:r>
      <w:r>
        <w:t xml:space="preserve">methods spanning every major class — classical (SVM, kNN), regularized-linear (CellTypist), a carefully-tuned linear pipeline, parameter-free projection (scTOP), marker/correlation (SingleR, scmap), deep probabilistic (scANVI, scArches), an interpretable prototype VAE (ProtoCloud), a pretrained pan-human annotator (Pan-human Azimuth), and a foundation model (scPRINT) — across</w:t>
      </w:r>
      <w:r>
        <w:t xml:space="preserve"> </w:t>
      </w:r>
      <w:r>
        <w:rPr>
          <w:b/>
          <w:bCs/>
        </w:rPr>
        <w:t xml:space="preserve">six</w:t>
      </w:r>
      <w:r>
        <w:t xml:space="preserve"> </w:t>
      </w:r>
      <w:r>
        <w:t xml:space="preserve">datasets (within-dataset, cross-dataset and cross-study; 8 to 86 cell types) plus a five-point</w:t>
      </w:r>
      <w:r>
        <w:t xml:space="preserve"> </w:t>
      </w:r>
      <w:r>
        <w:rPr>
          <w:b/>
          <w:bCs/>
        </w:rPr>
        <w:t xml:space="preserve">scaling sweep to 49k reference cells</w:t>
      </w:r>
      <w:r>
        <w:t xml:space="preserve">, measuring accuracy, macro-F1, ontology-aware concordance, fit and predict time, and peak memory on commodity Apple-Silicon hardware.</w:t>
      </w:r>
      <w:r>
        <w:t xml:space="preserve"> </w:t>
      </w:r>
      <w:r>
        <w:rPr>
          <w:b/>
          <w:bCs/>
        </w:rPr>
        <w:t xml:space="preserve">Accuracy differences among the leading methods are small; their cost differences are not.</w:t>
      </w:r>
      <w:r>
        <w:t xml:space="preserve"> </w:t>
      </w:r>
      <w:r>
        <w:t xml:space="preserve">The top of the accuracy table is a four-way cluster spanning 0.008 (0.831–0.839), led by a carefully preprocessed</w:t>
      </w:r>
      <w:r>
        <w:t xml:space="preserve"> </w:t>
      </w:r>
      <w:r>
        <w:rPr>
          <w:b/>
          <w:bCs/>
        </w:rPr>
        <w:t xml:space="preserve">linear pipeline</w:t>
      </w:r>
      <w:r>
        <w:t xml:space="preserve"> </w:t>
      </w:r>
      <w:r>
        <w:t xml:space="preserve">(normalize → ANOVA → PCA → logistic regression, 0.839) rather than by a deep model, with scANVI, scArches and actinn-jax (0.831) alongside it.</w:t>
      </w:r>
      <w:r>
        <w:t xml:space="preserve"> </w:t>
      </w:r>
      <w:r>
        <w:rPr>
          <w:b/>
          <w:bCs/>
        </w:rPr>
        <w:t xml:space="preserve">Those same four methods differ by ~260× in predict time</w:t>
      </w:r>
      <w:r>
        <w:t xml:space="preserve"> </w:t>
      </w:r>
      <w:r>
        <w:t xml:space="preserve">(0.34 s to 89 s)</w:t>
      </w:r>
      <w:r>
        <w:t xml:space="preserve"> </w:t>
      </w:r>
      <w:r>
        <w:rPr>
          <w:b/>
          <w:bCs/>
        </w:rPr>
        <w:t xml:space="preserve">and 2.4× in peak memory</w:t>
      </w:r>
      <w:r>
        <w:t xml:space="preserve"> </w:t>
      </w:r>
      <w:r>
        <w:t xml:space="preserve">(1.8 to 4.3 GB). The linear pipeline is the most accurate-per-second option on laptop-sized data, fitting 7× faster than actinn-jax (3.0 vs. 21.9 s). At atlas scale the ordering changes:</w:t>
      </w:r>
      <w:r>
        <w:t xml:space="preserve"> </w:t>
      </w:r>
      <w:r>
        <w:rPr>
          <w:b/>
          <w:bCs/>
        </w:rPr>
        <w:t xml:space="preserve">ProtoCloud</w:t>
      </w:r>
      <w:r>
        <w:t xml:space="preserve"> </w:t>
      </w:r>
      <w:r>
        <w:t xml:space="preserve">rises from worst at 3k reference cells (0.722) to best at 49k (</w:t>
      </w:r>
      <w:r>
        <w:rPr>
          <w:b/>
          <w:bCs/>
        </w:rPr>
        <w:t xml:space="preserve">0.976</w:t>
      </w:r>
      <w:r>
        <w:t xml:space="preserve">, vs. 0.936 for actinn-jax and 0.939 for the linear pipeline). No method leads everywhere, and methods separated by less than a percentage point of accuracy are separated by two orders of magnitude in cost. Because the leading methods now annotate quickly, accurately, and with a usable handle on unknown cells, the useful contribution is not another ranking but an account of</w:t>
      </w:r>
      <w:r>
        <w:t xml:space="preserve"> </w:t>
      </w:r>
      <w:r>
        <w:rPr>
          <w:b/>
          <w:bCs/>
        </w:rPr>
        <w:t xml:space="preserve">which tool fits which job, and what the surrounding workflow looks like</w:t>
      </w:r>
      <w:r>
        <w:t xml:space="preserve">. Every method is run on every dataset through one harness on identical splits, the panel deliberately includes the baselines most likely to beat a small MLP, and the external validation is somebody else’s benchmark —</w:t>
      </w:r>
      <w:r>
        <w:t xml:space="preserve"> </w:t>
      </w:r>
      <w:r>
        <w:rPr>
          <w:b/>
          <w:bCs/>
        </w:rPr>
        <w:t xml:space="preserve">Open Problems (OP)</w:t>
      </w:r>
      <w:r>
        <w:t xml:space="preserve"> </w:t>
      </w:r>
      <w:r>
        <w:rPr>
          <w:rStyle w:val="VerbatimChar"/>
        </w:rPr>
        <w:t xml:space="preserve">label_projection</w:t>
      </w:r>
      <w:r>
        <w:t xml:space="preserve">, whose datasets, metrics and ranking we did not choose. We report the results as a decision aid: accuracy-per-second, accuracy-per-byte, and behavior from 3k to 49k reference cells. We then use actinn-jax to demonstrate</w:t>
      </w:r>
      <w:r>
        <w:t xml:space="preserve"> </w:t>
      </w:r>
      <w:r>
        <w:rPr>
          <w:b/>
          <w:bCs/>
        </w:rPr>
        <w:t xml:space="preserve">end-to-end workflows that a low, flat cost profile makes practical</w:t>
      </w:r>
      <w:r>
        <w:t xml:space="preserve"> </w:t>
      </w:r>
      <w:r>
        <w:t xml:space="preserve">— on human data, and on mouse via a hierarchy derived from the Cell Ontology that removes the GPU step from building a reference. The workflows are: annotating an unknown human dataset from a</w:t>
      </w:r>
      <w:r>
        <w:t xml:space="preserve"> </w:t>
      </w:r>
      <w:r>
        <w:rPr>
          <w:b/>
          <w:bCs/>
        </w:rPr>
        <w:t xml:space="preserve">shipped census-scale reference</w:t>
      </w:r>
      <w:r>
        <w:t xml:space="preserve"> </w:t>
      </w:r>
      <w:r>
        <w:t xml:space="preserve">(~800 cell types, calibrated abstain) with no training;</w:t>
      </w:r>
      <w:r>
        <w:t xml:space="preserve"> </w:t>
      </w:r>
      <w:r>
        <w:rPr>
          <w:b/>
          <w:bCs/>
        </w:rPr>
        <w:t xml:space="preserve">tissue-aware refinement</w:t>
      </w:r>
      <w:r>
        <w:t xml:space="preserve"> </w:t>
      </w:r>
      <w:r>
        <w:t xml:space="preserve">that halves spurious cross-tissue labels on a liver query; a</w:t>
      </w:r>
      <w:r>
        <w:t xml:space="preserve"> </w:t>
      </w:r>
      <w:r>
        <w:rPr>
          <w:b/>
          <w:bCs/>
        </w:rPr>
        <w:t xml:space="preserve">broad→focused hand-off</w:t>
      </w:r>
      <w:r>
        <w:t xml:space="preserve"> </w:t>
      </w:r>
      <w:r>
        <w:t xml:space="preserve">to a small focused reference (held-out cross-study liver 0.23/0.58 → 0.72/0.86, exact-match / Cell-Ontology-aware); within-cell-type resolution (hepatocyte zonation); and a</w:t>
      </w:r>
      <w:r>
        <w:t xml:space="preserve"> </w:t>
      </w:r>
      <w:r>
        <w:rPr>
          <w:b/>
          <w:bCs/>
        </w:rPr>
        <w:t xml:space="preserve">cluster-level novel-cell-type screen</w:t>
      </w:r>
      <w:r>
        <w:t xml:space="preserve"> </w:t>
      </w:r>
      <w:r>
        <w:t xml:space="preserve">that recovers a withheld pulmonary ionocyte population and its marker ASCL3. What enables this is inference that is</w:t>
      </w:r>
      <w:r>
        <w:t xml:space="preserve"> </w:t>
      </w:r>
      <w:r>
        <w:rPr>
          <w:b/>
          <w:bCs/>
        </w:rPr>
        <w:t xml:space="preserve">sub-second and flat</w:t>
      </w:r>
      <w:r>
        <w:t xml:space="preserve"> </w:t>
      </w:r>
      <w:r>
        <w:t xml:space="preserve">— independent of reference size and cardinality — over a cached reference that is trained once and reused, at the lowest peak memory of the methods we carried to atlas scale (6.1 vs. 13.2 GB for the linear pipeline at 49k cells). No part of this workflow is exclusive to actinn-jax: ProtoCloud provides uncertainty, gene attribution and a retraining-based refinement path, and</w:t>
      </w:r>
      <w:r>
        <w:t xml:space="preserve"> </w:t>
      </w:r>
      <w:r>
        <w:rPr>
          <w:b/>
          <w:bCs/>
        </w:rPr>
        <w:t xml:space="preserve">Pan-human Azimuth</w:t>
      </w:r>
      <w:r>
        <w:t xml:space="preserve"> </w:t>
      </w:r>
      <w:r>
        <w:t xml:space="preserve">ships a pretrained, calibrated, hierarchical pan-human annotator that runs on a laptop — a better-resourced broad pass than ours, and one we can</w:t>
      </w:r>
      <w:r>
        <w:t xml:space="preserve"> </w:t>
      </w:r>
      <w:r>
        <w:rPr>
          <w:b/>
          <w:bCs/>
        </w:rPr>
        <w:t xml:space="preserve">distill into a broad-pass model of comparable accuracy at 6–9× its throughput, built with no GPU and no labeled data</w:t>
      </w:r>
      <w:r>
        <w:t xml:space="preserve">. What the workflow adds is the</w:t>
      </w:r>
      <w:r>
        <w:t xml:space="preserve"> </w:t>
      </w:r>
      <w:r>
        <w:rPr>
          <w:b/>
          <w:bCs/>
        </w:rPr>
        <w:t xml:space="preserve">hand-off into a label set the broad model was never trained on</w:t>
      </w:r>
      <w:r>
        <w:t xml:space="preserve">: refinement against a user’s own focused reference, and resolution below any fixed typology’s leaves.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12"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w:t>
      </w:r>
      <w:r>
        <w:t xml:space="preserve"> </w:t>
      </w:r>
      <w:r>
        <w:t xml:space="preserve">but published comparisons (</w:t>
      </w:r>
      <w:hyperlink r:id="rId9">
        <w:r>
          <w:rPr>
            <w:rStyle w:val="Hyperlink"/>
          </w:rPr>
          <w:t xml:space="preserve">[Abdelaal 2019]</w:t>
        </w:r>
      </w:hyperlink>
      <w:r>
        <w:t xml:space="preserve">,</w:t>
      </w:r>
      <w:r>
        <w:t xml:space="preserve"> </w:t>
      </w:r>
      <w:hyperlink r:id="rId10">
        <w:r>
          <w:rPr>
            <w:rStyle w:val="Hyperlink"/>
          </w:rPr>
          <w:t xml:space="preserve">[Fu 2024]</w:t>
        </w:r>
      </w:hyperlink>
      <w:r>
        <w:t xml:space="preserve">)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The leading</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13-method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unfavorable direction (§5). Metrics are</w:t>
      </w:r>
      <w:r>
        <w:t xml:space="preserve"> </w:t>
      </w:r>
      <w:r>
        <w:t xml:space="preserve">fixed across all methods and reported in full. And the</w:t>
      </w:r>
      <w:r>
        <w:t xml:space="preserve"> </w:t>
      </w:r>
      <w:r>
        <w:rPr>
          <w:b/>
          <w:bCs/>
        </w:rPr>
        <w:t xml:space="preserve">external validation is somebody</w:t>
      </w:r>
      <w:r>
        <w:rPr>
          <w:b/>
          <w:bCs/>
        </w:rPr>
        <w:t xml:space="preserve"> </w:t>
      </w:r>
      <w:r>
        <w:rPr>
          <w:b/>
          <w:bCs/>
        </w:rPr>
        <w:t xml:space="preserve">else’s</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memory</w:t>
      </w:r>
      <w:r>
        <w:t xml:space="preserve"> </w:t>
      </w:r>
      <w:r>
        <w:t xml:space="preserve">advantage that stays a fixed factor instead of growing with the data, a better-resourced broad</w:t>
      </w:r>
      <w:r>
        <w:t xml:space="preserve"> </w:t>
      </w:r>
      <w:r>
        <w:t xml:space="preserve">annotator than our own — they are reported in those terms.</w:t>
      </w:r>
    </w:p>
    <w:p>
      <w:pPr>
        <w:pStyle w:val="BodyText"/>
      </w:pPr>
      <w:r>
        <w:rPr>
          <w:b/>
          <w:bCs/>
        </w:rPr>
        <w:t xml:space="preserve">On adding another method to a crowded field.</w:t>
      </w:r>
      <w:r>
        <w:t xml:space="preserve"> </w:t>
      </w:r>
      <w:r>
        <w:t xml:space="preserve">We are not concluding that the new method</w:t>
      </w:r>
      <w:r>
        <w:t xml:space="preserve"> </w:t>
      </w:r>
      <w:r>
        <w:t xml:space="preserve">wins. On accuracy it sits inside a four-way cluster it does not lead; the panel was assembled</w:t>
      </w:r>
      <w:r>
        <w:t xml:space="preserve"> </w:t>
      </w:r>
      <w:r>
        <w:t xml:space="preserve">to include the baselines most likely to beat it, and they do. What earns it a place is</w:t>
      </w:r>
      <w:r>
        <w:t xml:space="preserve"> </w:t>
      </w:r>
      <w:r>
        <w:t xml:space="preserve">narrower: the original ACTINN no longer installs or runs on current toolchains, and the</w:t>
      </w:r>
      <w:r>
        <w:t xml:space="preserve"> </w:t>
      </w:r>
      <w:r>
        <w:t xml:space="preserve">reimplementation’s flat, sub-second, memory-bounded inference over a cached reference is what</w:t>
      </w:r>
      <w:r>
        <w:t xml:space="preserve"> </w:t>
      </w:r>
      <w:r>
        <w:t xml:space="preserve">makes the multi-stage workflow of §3.4 practical on a laptop. A field already full of working</w:t>
      </w:r>
      <w:r>
        <w:t xml:space="preserve"> </w:t>
      </w:r>
      <w:r>
        <w:t xml:space="preserve">methods (</w:t>
      </w:r>
      <w:hyperlink r:id="rId11">
        <w:r>
          <w:rPr>
            <w:rStyle w:val="Hyperlink"/>
          </w:rPr>
          <w:t xml:space="preserve">xkcd 927</w:t>
        </w:r>
      </w:hyperlink>
      <w:r>
        <w:t xml:space="preserve">)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p>
    <w:p>
      <w:pPr>
        <w:pStyle w:val="Compact"/>
        <w:numPr>
          <w:ilvl w:val="0"/>
          <w:numId w:val="1001"/>
        </w:numPr>
      </w:pPr>
      <w:r>
        <w:t xml:space="preserve">A modern, dependency-light (no TensorFlow) JAX reimplementation of ACTINN with sparse</w:t>
      </w:r>
      <w:r>
        <w:t xml:space="preserve"> </w:t>
      </w:r>
      <w:r>
        <w:t xml:space="preserve">preprocessing, chunked atlas-scale prediction, and a cached reference model.</w:t>
      </w:r>
    </w:p>
    <w:p>
      <w:pPr>
        <w:pStyle w:val="Compact"/>
        <w:numPr>
          <w:ilvl w:val="0"/>
          <w:numId w:val="1001"/>
        </w:numPr>
      </w:pPr>
      <w:r>
        <w:t xml:space="preserve">A neutral</w:t>
      </w:r>
      <w:r>
        <w:t xml:space="preserve"> </w:t>
      </w:r>
      <w:r>
        <w:rPr>
          <w:b/>
          <w:bCs/>
        </w:rPr>
        <w:t xml:space="preserve">13-method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five-point scaling sweep to 49k</w:t>
      </w:r>
      <w:r>
        <w:rPr>
          <w:b/>
          <w:bCs/>
        </w:rPr>
        <w:t xml:space="preserve"> </w:t>
      </w:r>
      <w:r>
        <w:rPr>
          <w:b/>
          <w:bCs/>
        </w:rPr>
        <w:t xml:space="preserve">reference cells</w:t>
      </w:r>
      <w:r>
        <w:t xml:space="preserve">.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is also what sets actinn-jax’s minibatch policy: at</w:t>
      </w:r>
      <w:r>
        <w:t xml:space="preserve"> </w:t>
      </w:r>
      <w:r>
        <w:t xml:space="preserve">ACTINN’s fixed batch of 128, a 47k-cell reference costs ~24k tiny update steps, so</w:t>
      </w:r>
      <w:r>
        <w:t xml:space="preserve"> </w:t>
      </w:r>
      <w:r>
        <w:t xml:space="preserve">actinn-jax scales the batch with the reference above ~12.8k cells and keeps 128 below it.</w:t>
      </w:r>
      <w:r>
        <w:t xml:space="preserve"> </w:t>
      </w:r>
      <w:r>
        <w:t xml:space="preserve">Measured fit and predict curves are in §3.3.</w:t>
      </w:r>
    </w:p>
    <w:p>
      <w:pPr>
        <w:pStyle w:val="Compact"/>
        <w:numPr>
          <w:ilvl w:val="0"/>
          <w:numId w:val="1001"/>
        </w:numPr>
      </w:pP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broad→focused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pass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On the human corpus where it was validated it beats having no</w:t>
      </w:r>
      <w:r>
        <w:t xml:space="preserve"> </w:t>
      </w:r>
      <w:r>
        <w:t xml:space="preserve">hierarchy at all (0.616 vs 0.547) and a random grouping of the same sizes (0.539), and it</w:t>
      </w:r>
      <w:r>
        <w:t xml:space="preserve"> </w:t>
      </w:r>
      <w:r>
        <w:t xml:space="preserve">needs no GPU at any stage.</w:t>
      </w:r>
    </w:p>
    <w:p>
      <w:pPr>
        <w:pStyle w:val="Compact"/>
        <w:numPr>
          <w:ilvl w:val="0"/>
          <w:numId w:val="1001"/>
        </w:numPr>
      </w:pPr>
      <w:r>
        <w:t xml:space="preserve">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12"/>
    <w:bookmarkStart w:id="46" w:name="methods"/>
    <w:p>
      <w:pPr>
        <w:pStyle w:val="Heading1"/>
      </w:pPr>
      <w:r>
        <w:t xml:space="preserve">Methods</w:t>
      </w:r>
    </w:p>
    <w:bookmarkStart w:id="15" w:name="actinn-jax"/>
    <w:p>
      <w:pPr>
        <w:pStyle w:val="Heading2"/>
      </w:pPr>
      <w:r>
        <w:t xml:space="preserve">actinn-jax</w:t>
      </w:r>
    </w:p>
    <w:p>
      <w:pPr>
        <w:pStyle w:val="FirstParagraph"/>
      </w:pPr>
      <w:r>
        <w:t xml:space="preserve">actinn-jax reimplements ACTINN (</w:t>
      </w:r>
      <w:hyperlink r:id="rId13">
        <w:r>
          <w:rPr>
            <w:rStyle w:val="Hyperlink"/>
          </w:rPr>
          <w:t xml:space="preserve">[Ma &amp; Pellegrini 2020]</w:t>
        </w:r>
      </w:hyperlink>
      <w:r>
        <w:t xml:space="preserve">) — a 4-layer fully-connected</w:t>
      </w:r>
      <w:r>
        <w:t xml:space="preserve"> </w:t>
      </w:r>
      <w:r>
        <w:t xml:space="preserve">network (100/50/25 hidden units, ReLU, softmax) trained with Adam — in JAX/optax</w:t>
      </w:r>
      <w:r>
        <w:t xml:space="preserve"> </w:t>
      </w:r>
      <w:r>
        <w:t xml:space="preserve">(</w:t>
      </w:r>
      <w:hyperlink r:id="rId14">
        <w:r>
          <w:rPr>
            <w:rStyle w:val="Hyperlink"/>
          </w:rPr>
          <w:t xml:space="preserve">[Bradbury 2018]</w:t>
        </w:r>
      </w:hyperlink>
      <w:r>
        <w:t xml:space="preserve">), replacing</w:t>
      </w:r>
      <w:r>
        <w:t xml:space="preserve"> </w:t>
      </w:r>
      <w:r>
        <w:t xml:space="preserve">the original’s TensorFlow-1.x graph/session code. Key engineering:</w:t>
      </w:r>
    </w:p>
    <w:p>
      <w:pPr>
        <w:pStyle w:val="Compact"/>
        <w:numPr>
          <w:ilvl w:val="0"/>
          <w:numId w:val="1002"/>
        </w:numPr>
      </w:pPr>
      <w:r>
        <w:rPr>
          <w:b/>
          <w:bCs/>
        </w:rPr>
        <w:t xml:space="preserve">Sparse-aware preprocessing</w:t>
      </w:r>
      <w:r>
        <w:t xml:space="preserve">: the count matrix is never densified in full. CP10k+log2</w:t>
      </w:r>
      <w:r>
        <w:t xml:space="preserve"> </w:t>
      </w:r>
      <w:r>
        <w:t xml:space="preserve">normalization and the expression / coefficient-of-variation gene filter run on the sparse</w:t>
      </w:r>
      <w:r>
        <w:t xml:space="preserve"> </w:t>
      </w:r>
      <w:r>
        <w:t xml:space="preserve">matrix; only the selected-gene columns of each minibatch are made dense.</w:t>
      </w:r>
    </w:p>
    <w:p>
      <w:pPr>
        <w:pStyle w:val="Compact"/>
        <w:numPr>
          <w:ilvl w:val="0"/>
          <w:numId w:val="1002"/>
        </w:numPr>
      </w:pPr>
      <w:r>
        <w:rPr>
          <w:b/>
          <w:bCs/>
        </w:rPr>
        <w:t xml:space="preserve">Cached reference model</w:t>
      </w:r>
      <w:r>
        <w:t xml:space="preserve">: train once, write the fitted model to disk, reload it and map</w:t>
      </w:r>
      <w:r>
        <w:t xml:space="preserve"> </w:t>
      </w:r>
      <w:r>
        <w:t xml:space="preserve">many queries — the amortized cost of repeated annotation against a fixed reference drops</w:t>
      </w:r>
      <w:r>
        <w:t xml:space="preserve"> </w:t>
      </w:r>
      <w:r>
        <w:t xml:space="preserve">to the inference cost alone.</w:t>
      </w:r>
    </w:p>
    <w:p>
      <w:pPr>
        <w:pStyle w:val="Compact"/>
        <w:numPr>
          <w:ilvl w:val="0"/>
          <w:numId w:val="1002"/>
        </w:numPr>
      </w:pPr>
      <w:r>
        <w:rPr>
          <w:b/>
          <w:bCs/>
        </w:rPr>
        <w:t xml:space="preserve">Chunked prediction</w:t>
      </w:r>
      <w:r>
        <w:t xml:space="preserve"> </w:t>
      </w:r>
      <w:r>
        <w:t xml:space="preserve">for atlas-scale queries, and raw counts are picked up automatically</w:t>
      </w:r>
      <w:r>
        <w:t xml:space="preserve"> </w:t>
      </w:r>
      <w:r>
        <w:t xml:space="preserve">from the slot CELLxGENE files conventionally store them in.</w:t>
      </w:r>
    </w:p>
    <w:p>
      <w:pPr>
        <w:pStyle w:val="Compact"/>
        <w:numPr>
          <w:ilvl w:val="0"/>
          <w:numId w:val="1002"/>
        </w:numPr>
      </w:pPr>
      <w:r>
        <w:rPr>
          <w:b/>
          <w:bCs/>
        </w:rPr>
        <w:t xml:space="preserve">Optional reference-fit standardization</w:t>
      </w:r>
      <w:r>
        <w:t xml:space="preserve">: z-score each selected gene by the reference’s</w:t>
      </w:r>
      <w:r>
        <w:t xml:space="preserve"> </w:t>
      </w:r>
      <w:r>
        <w:t xml:space="preserve">frozen mean and standard deviation and apply that to the query — a cheap domain alignment</w:t>
      </w:r>
      <w:r>
        <w:t xml:space="preserve"> </w:t>
      </w:r>
      <w:r>
        <w:t xml:space="preserve">(§3.7). Off by default; when on, the scaler is saved alongside the model and travels with</w:t>
      </w:r>
      <w:r>
        <w:t xml:space="preserve"> </w:t>
      </w:r>
      <w:r>
        <w:t xml:space="preserve">it, and models saved without it still load.</w:t>
      </w:r>
    </w:p>
    <w:p>
      <w:pPr>
        <w:pStyle w:val="FirstParagraph"/>
      </w:pPr>
      <w:r>
        <w:t xml:space="preserve">The reimplementation reproduces the original’s accuracy to within repeat noise and, unlike the</w:t>
      </w:r>
      <w:r>
        <w:t xml:space="preserve"> </w:t>
      </w:r>
      <w:r>
        <w:t xml:space="preserve">TensorFlow-1.x original,</w:t>
      </w:r>
      <w:r>
        <w:t xml:space="preserve"> </w:t>
      </w:r>
      <w:r>
        <w:rPr>
          <w:b/>
          <w:bCs/>
        </w:rPr>
        <w:t xml:space="preserve">installs on current Python/ML environments</w:t>
      </w:r>
      <w:r>
        <w:t xml:space="preserve"> </w:t>
      </w:r>
      <w:r>
        <w:t xml:space="preserve">— the original’s</w:t>
      </w:r>
      <w:r>
        <w:t xml:space="preserve"> </w:t>
      </w:r>
      <w:r>
        <w:t xml:space="preserve">graph/session code no longer</w:t>
      </w:r>
      <w:r>
        <w:t xml:space="preserve"> </w:t>
      </w:r>
      <w:r>
        <w:t xml:space="preserve">runs on a modern stack without pinning a years-old TensorFlow. Because the two are the same</w:t>
      </w:r>
      <w:r>
        <w:t xml:space="preserve"> </w:t>
      </w:r>
      <w:r>
        <w:t xml:space="preserve">model at equal accuracy, we do not carry the original as a separate benchmark row; the</w:t>
      </w:r>
      <w:r>
        <w:t xml:space="preserve"> </w:t>
      </w:r>
      <w:r>
        <w:t xml:space="preserve">engineering win is the point, not an accuracy comparison.</w:t>
      </w:r>
    </w:p>
    <w:bookmarkEnd w:id="15"/>
    <w:bookmarkStart w:id="26"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146"/>
        <w:gridCol w:w="1250"/>
        <w:gridCol w:w="1146"/>
        <w:gridCol w:w="2084"/>
        <w:gridCol w:w="1042"/>
        <w:gridCol w:w="1250"/>
      </w:tblGrid>
      <w:tr>
        <w:trPr>
          <w:tblHeader w:val="on"/>
        </w:trPr>
        <w:tc>
          <w:tcPr/>
          <w:p>
            <w:pPr>
              <w:pStyle w:val="Compact"/>
            </w:pPr>
            <w:r>
              <w:t xml:space="preserve">method</w:t>
            </w:r>
          </w:p>
        </w:tc>
        <w:tc>
          <w:tcPr/>
          <w:p>
            <w:pPr>
              <w:pStyle w:val="Compact"/>
            </w:pPr>
            <w:r>
              <w:t xml:space="preserve">source</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runtime</w:t>
            </w:r>
          </w:p>
        </w:tc>
      </w:tr>
      <w:tr>
        <w:tc>
          <w:tcPr/>
          <w:p>
            <w:pPr>
              <w:pStyle w:val="Compact"/>
            </w:pPr>
            <w:r>
              <w:rPr>
                <w:b/>
                <w:bCs/>
              </w:rPr>
              <w:t xml:space="preserve">actinn-jax</w:t>
            </w:r>
          </w:p>
        </w:tc>
        <w:tc>
          <w:tcPr/>
          <w:p>
            <w:pPr>
              <w:pStyle w:val="Compact"/>
            </w:pPr>
            <w:hyperlink r:id="rId13">
              <w:r>
                <w:rPr>
                  <w:rStyle w:val="Hyperlink"/>
                </w:rPr>
                <w:t xml:space="preserve">[Ma &amp; Pellegrini 2020]</w:t>
              </w:r>
            </w:hyperlink>
          </w:p>
        </w:tc>
        <w:tc>
          <w:tcPr/>
          <w:p>
            <w:pPr>
              <w:pStyle w:val="Compact"/>
            </w:pPr>
            <w:r>
              <w:t xml:space="preserve">classical</w:t>
            </w:r>
          </w:p>
        </w:tc>
        <w:tc>
          <w:tcPr/>
          <w:p>
            <w:pPr>
              <w:pStyle w:val="Compact"/>
            </w:pPr>
            <w:r>
              <w:t xml:space="preserve">JAX MLP</w:t>
            </w:r>
          </w:p>
        </w:tc>
        <w:tc>
          <w:tcPr/>
          <w:p>
            <w:pPr>
              <w:pStyle w:val="Compact"/>
            </w:pPr>
            <w:r>
              <w:t xml:space="preserve">confidence threshold</w:t>
            </w:r>
          </w:p>
        </w:tc>
        <w:tc>
          <w:tcPr/>
          <w:p>
            <w:pPr>
              <w:pStyle w:val="Compact"/>
            </w:pPr>
            <w:r>
              <w:t xml:space="preserve">JAX</w:t>
            </w:r>
          </w:p>
        </w:tc>
      </w:tr>
      <w:tr>
        <w:tc>
          <w:tcPr/>
          <w:p>
            <w:pPr>
              <w:pStyle w:val="Compact"/>
            </w:pPr>
            <w:r>
              <w:t xml:space="preserve">SVM</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scikit-learn</w:t>
            </w:r>
          </w:p>
        </w:tc>
      </w:tr>
      <w:tr>
        <w:tc>
          <w:tcPr/>
          <w:p>
            <w:pPr>
              <w:pStyle w:val="Compact"/>
            </w:pPr>
            <w:r>
              <w:t xml:space="preserve">kNN</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scikit-learn</w:t>
            </w:r>
          </w:p>
        </w:tc>
      </w:tr>
      <w:tr>
        <w:tc>
          <w:tcPr/>
          <w:p>
            <w:pPr>
              <w:pStyle w:val="Compact"/>
            </w:pPr>
            <w:r>
              <w:t xml:space="preserve">CellTypist</w:t>
            </w:r>
          </w:p>
        </w:tc>
        <w:tc>
          <w:tcPr/>
          <w:p>
            <w:pPr>
              <w:pStyle w:val="Compact"/>
            </w:pPr>
            <w:hyperlink r:id="rId17">
              <w:r>
                <w:rPr>
                  <w:rStyle w:val="Hyperlink"/>
                </w:rPr>
                <w:t xml:space="preserve">[Domínguez Conde 2022]</w:t>
              </w:r>
            </w:hyperlink>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scikit-learn</w:t>
            </w:r>
          </w:p>
        </w:tc>
      </w:tr>
      <w:tr>
        <w:tc>
          <w:tcPr/>
          <w:p>
            <w:pPr>
              <w:pStyle w:val="Compact"/>
            </w:pPr>
            <w:r>
              <w:rPr>
                <w:b/>
                <w:bCs/>
              </w:rPr>
              <w:t xml:space="preserve">linear-anova-pca</w:t>
            </w:r>
          </w:p>
        </w:tc>
        <w:tc>
          <w:tcPr/>
          <w:p>
            <w:pPr>
              <w:pStyle w:val="Compact"/>
            </w:pPr>
            <w:hyperlink r:id="rId16">
              <w:r>
                <w:rPr>
                  <w:rStyle w:val="Hyperlink"/>
                </w:rPr>
                <w:t xml:space="preserve">[Pedregosa 2011]</w:t>
              </w:r>
            </w:hyperlink>
            <w:r>
              <w:t xml:space="preserve"> </w:t>
            </w:r>
            <w:r>
              <w:t xml:space="preserve">†</w:t>
            </w:r>
          </w:p>
        </w:tc>
        <w:tc>
          <w:tcPr/>
          <w:p>
            <w:pPr>
              <w:pStyle w:val="Compact"/>
            </w:pPr>
            <w:r>
              <w:t xml:space="preserve">linear</w:t>
            </w:r>
          </w:p>
        </w:tc>
        <w:tc>
          <w:tcPr/>
          <w:p>
            <w:pPr>
              <w:pStyle w:val="Compact"/>
            </w:pPr>
            <w:r>
              <w:t xml:space="preserve">normalize → ANOVA → PCA(220) → logreg</w:t>
            </w:r>
          </w:p>
        </w:tc>
        <w:tc>
          <w:tcPr/>
          <w:p>
            <w:pPr>
              <w:pStyle w:val="Compact"/>
            </w:pPr>
            <w:r>
              <w:t xml:space="preserve">prob</w:t>
            </w:r>
          </w:p>
        </w:tc>
        <w:tc>
          <w:tcPr/>
          <w:p>
            <w:pPr>
              <w:pStyle w:val="Compact"/>
            </w:pPr>
            <w:r>
              <w:t xml:space="preserve">scikit-learn</w:t>
            </w:r>
          </w:p>
        </w:tc>
      </w:tr>
      <w:tr>
        <w:tc>
          <w:tcPr/>
          <w:p>
            <w:pPr>
              <w:pStyle w:val="Compact"/>
            </w:pPr>
            <w:r>
              <w:rPr>
                <w:b/>
                <w:bCs/>
              </w:rPr>
              <w:t xml:space="preserve">scTOP</w:t>
            </w:r>
          </w:p>
        </w:tc>
        <w:tc>
          <w:tcPr/>
          <w:p>
            <w:pPr>
              <w:pStyle w:val="Compact"/>
            </w:pPr>
            <w:hyperlink r:id="rId18">
              <w:r>
                <w:rPr>
                  <w:rStyle w:val="Hyperlink"/>
                </w:rPr>
                <w:t xml:space="preserve">[Yampolskaya 2023]</w:t>
              </w:r>
            </w:hyperlink>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NumPy</w:t>
            </w:r>
          </w:p>
        </w:tc>
      </w:tr>
      <w:tr>
        <w:tc>
          <w:tcPr/>
          <w:p>
            <w:pPr>
              <w:pStyle w:val="Compact"/>
            </w:pPr>
            <w:r>
              <w:t xml:space="preserve">SingleR</w:t>
            </w:r>
          </w:p>
        </w:tc>
        <w:tc>
          <w:tcPr/>
          <w:p>
            <w:pPr>
              <w:pStyle w:val="Compact"/>
            </w:pPr>
            <w:hyperlink r:id="rId19">
              <w:r>
                <w:rPr>
                  <w:rStyle w:val="Hyperlink"/>
                </w:rPr>
                <w:t xml:space="preserve">[Aran 2019]</w:t>
              </w:r>
            </w:hyperlink>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w:t>
            </w:r>
          </w:p>
        </w:tc>
      </w:tr>
      <w:tr>
        <w:tc>
          <w:tcPr/>
          <w:p>
            <w:pPr>
              <w:pStyle w:val="Compact"/>
            </w:pPr>
            <w:r>
              <w:t xml:space="preserve">scmap-cluster</w:t>
            </w:r>
          </w:p>
        </w:tc>
        <w:tc>
          <w:tcPr/>
          <w:p>
            <w:pPr>
              <w:pStyle w:val="Compact"/>
            </w:pPr>
            <w:hyperlink r:id="rId20">
              <w:r>
                <w:rPr>
                  <w:rStyle w:val="Hyperlink"/>
                </w:rPr>
                <w:t xml:space="preserve">[Kiselev 2018]</w:t>
              </w:r>
            </w:hyperlink>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w:t>
            </w:r>
          </w:p>
        </w:tc>
      </w:tr>
      <w:tr>
        <w:tc>
          <w:tcPr/>
          <w:p>
            <w:pPr>
              <w:pStyle w:val="Compact"/>
            </w:pPr>
            <w:r>
              <w:t xml:space="preserve">scANVI</w:t>
            </w:r>
          </w:p>
        </w:tc>
        <w:tc>
          <w:tcPr/>
          <w:p>
            <w:pPr>
              <w:pStyle w:val="Compact"/>
            </w:pPr>
            <w:hyperlink r:id="rId21">
              <w:r>
                <w:rPr>
                  <w:rStyle w:val="Hyperlink"/>
                </w:rPr>
                <w:t xml:space="preserve">[Xu 2021]</w:t>
              </w:r>
            </w:hyperlink>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scVI</w:t>
            </w:r>
          </w:p>
        </w:tc>
      </w:tr>
      <w:tr>
        <w:tc>
          <w:tcPr/>
          <w:p>
            <w:pPr>
              <w:pStyle w:val="Compact"/>
            </w:pPr>
            <w:r>
              <w:t xml:space="preserve">scArches</w:t>
            </w:r>
          </w:p>
        </w:tc>
        <w:tc>
          <w:tcPr/>
          <w:p>
            <w:pPr>
              <w:pStyle w:val="Compact"/>
            </w:pPr>
            <w:hyperlink r:id="rId22">
              <w:r>
                <w:rPr>
                  <w:rStyle w:val="Hyperlink"/>
                </w:rPr>
                <w:t xml:space="preserve">[Lotfollahi 2022]</w:t>
              </w:r>
            </w:hyperlink>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scVI</w:t>
            </w:r>
          </w:p>
        </w:tc>
      </w:tr>
      <w:tr>
        <w:tc>
          <w:tcPr/>
          <w:p>
            <w:pPr>
              <w:pStyle w:val="Compact"/>
            </w:pPr>
            <w:r>
              <w:rPr>
                <w:b/>
                <w:bCs/>
              </w:rPr>
              <w:t xml:space="preserve">ProtoCloud</w:t>
            </w:r>
          </w:p>
        </w:tc>
        <w:tc>
          <w:tcPr/>
          <w:p>
            <w:pPr>
              <w:pStyle w:val="Compact"/>
            </w:pPr>
            <w:hyperlink r:id="rId23">
              <w:r>
                <w:rPr>
                  <w:rStyle w:val="Hyperlink"/>
                </w:rPr>
                <w:t xml:space="preserve">[Guo &amp; Ding 2026]</w:t>
              </w:r>
            </w:hyperlink>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PyTorch</w:t>
            </w:r>
          </w:p>
        </w:tc>
      </w:tr>
      <w:tr>
        <w:tc>
          <w:tcPr/>
          <w:p>
            <w:pPr>
              <w:pStyle w:val="Compact"/>
            </w:pPr>
            <w:r>
              <w:t xml:space="preserve">scPRINT</w:t>
            </w:r>
          </w:p>
        </w:tc>
        <w:tc>
          <w:tcPr/>
          <w:p>
            <w:pPr>
              <w:pStyle w:val="Compact"/>
            </w:pPr>
            <w:hyperlink r:id="rId24">
              <w:r>
                <w:rPr>
                  <w:rStyle w:val="Hyperlink"/>
                </w:rPr>
                <w:t xml:space="preserve">[Kalfon 2025]</w:t>
              </w:r>
            </w:hyperlink>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PyTorch</w:t>
            </w:r>
          </w:p>
        </w:tc>
      </w:tr>
      <w:tr>
        <w:tc>
          <w:tcPr/>
          <w:p>
            <w:pPr>
              <w:pStyle w:val="Compact"/>
            </w:pPr>
            <w:r>
              <w:rPr>
                <w:b/>
                <w:bCs/>
              </w:rPr>
              <w:t xml:space="preserve">Pan-human Azimuth</w:t>
            </w:r>
          </w:p>
        </w:tc>
        <w:tc>
          <w:tcPr/>
          <w:p>
            <w:pPr>
              <w:pStyle w:val="Compact"/>
            </w:pPr>
            <w:hyperlink r:id="rId25">
              <w:r>
                <w:rPr>
                  <w:rStyle w:val="Hyperlink"/>
                </w:rPr>
                <w:t xml:space="preserve">[Sarkar et al. 2026]</w:t>
              </w:r>
            </w:hyperlink>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TensorFlow</w:t>
            </w:r>
          </w:p>
        </w:tc>
      </w:tr>
    </w:tbl>
    <w:p>
      <w:pPr>
        <w:pStyle w:val="BodyText"/>
      </w:pPr>
      <w:r>
        <w:rPr>
          <w:b/>
          <w:bCs/>
        </w:rPr>
        <w:t xml:space="preserve">Table 1.</w:t>
      </w:r>
      <w:r>
        <w:t xml:space="preserve"> </w:t>
      </w:r>
      <w:r>
        <w:t xml:space="preserve">The benchmarked methods: model family (</w:t>
      </w:r>
      <w:r>
        <w:rPr>
          <w:i/>
          <w:iCs/>
        </w:rPr>
        <w:t xml:space="preserve">tier</w:t>
      </w:r>
      <w:r>
        <w:t xml:space="preserve">), the engine each one actually runs,</w:t>
      </w:r>
      <w:r>
        <w:t xml:space="preserve"> </w:t>
      </w:r>
      <w:r>
        <w:t xml:space="preserve">whether it can decline to call a cell (</w:t>
      </w:r>
      <w:r>
        <w:rPr>
          <w:i/>
          <w:iCs/>
        </w:rPr>
        <w:t xml:space="preserve">rejection</w:t>
      </w:r>
      <w:r>
        <w:t xml:space="preserve">), and the runtime stack it was run on;</w:t>
      </w:r>
      <w:r>
        <w:t xml:space="preserve"> </w:t>
      </w:r>
      <w:r>
        <w:t xml:space="preserve">each has its own pinned environment (§2.5). Bold marks the methods added to this panel here.</w:t>
      </w:r>
    </w:p>
    <w:p>
      <w:pPr>
        <w:pStyle w:val="BodyText"/>
      </w:pPr>
      <w:r>
        <w:t xml:space="preserve">†</w:t>
      </w:r>
      <w:r>
        <w:t xml:space="preserve"> </w:t>
      </w:r>
      <w:r>
        <w:rPr>
          <w:rStyle w:val="VerbatimChar"/>
        </w:rPr>
        <w:t xml:space="preserve">linear-anova-pca</w:t>
      </w:r>
      <w:r>
        <w:t xml:space="preserve"> </w:t>
      </w:r>
      <w:r>
        <w:t xml:space="preserve">has no method paper: it is a baseline assembled here from scikit-learn</w:t>
      </w:r>
      <w:r>
        <w:t xml:space="preserve"> </w:t>
      </w:r>
      <w:r>
        <w:t xml:space="preserve">components, tuned deliberately to be the strongest simple competitor we could build (§1).</w:t>
      </w:r>
    </w:p>
    <w:p>
      <w:pPr>
        <w:pStyle w:val="BodyText"/>
      </w:pPr>
      <w:r>
        <w:rPr>
          <w:b/>
          <w:bCs/>
        </w:rPr>
        <w:t xml:space="preserve">Eleven of the thirteen are trained on each dataset’s own reference</w:t>
      </w:r>
      <w:r>
        <w:t xml:space="preserve"> </w:t>
      </w:r>
      <w:r>
        <w:t xml:space="preserve">and run the full</w:t>
      </w:r>
      <w:r>
        <w:t xml:space="preserve"> </w:t>
      </w:r>
      <w:r>
        <w:t xml:space="preserve">accuracy/cost matrix of §3.1 on all six datasets, so none is compared on a favorable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3"/>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being the standard controlled vocabulary of cell types, used throughout as the common</w:t>
      </w:r>
      <w:r>
        <w:t xml:space="preserve"> </w:t>
      </w:r>
      <w:r>
        <w:t xml:space="preserve">ground between datasets that name the same cell differently; it cannot</w:t>
      </w:r>
      <w:r>
        <w:t xml:space="preserve"> </w:t>
      </w:r>
      <w:r>
        <w:t xml:space="preserve">emit labels outside that set and skips symbol-keyed datasets.</w:t>
      </w:r>
    </w:p>
    <w:p>
      <w:pPr>
        <w:pStyle w:val="Compact"/>
        <w:numPr>
          <w:ilvl w:val="0"/>
          <w:numId w:val="1003"/>
        </w:numPr>
      </w:pPr>
      <w:r>
        <w:rPr>
          <w:b/>
          <w:bCs/>
        </w:rPr>
        <w:t xml:space="preserve">Pan-human Azimuth</w:t>
      </w:r>
      <w:r>
        <w:t xml:space="preserve"> </w:t>
      </w:r>
      <w:r>
        <w:t xml:space="preserve">(</w:t>
      </w:r>
      <w:hyperlink r:id="rId25">
        <w:r>
          <w:rPr>
            <w:rStyle w:val="Hyperlink"/>
          </w:rPr>
          <w:t xml:space="preserve">[Sarkar et al. 2026]</w:t>
        </w:r>
      </w:hyperlink>
      <w:r>
        <w:t xml:space="preserve">)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excluded outright: unmaintained; it requires harmony’s removed</w:t>
      </w:r>
      <w:r>
        <w:t xml:space="preserve"> </w:t>
      </w:r>
      <w:r>
        <w:rPr>
          <w:rStyle w:val="VerbatimChar"/>
        </w:rPr>
        <w:t xml:space="preserve">HarmonyMatrix</w:t>
      </w:r>
      <w:r>
        <w:t xml:space="preserve"> </w:t>
      </w:r>
      <w:r>
        <w:t xml:space="preserve">API and older harmony versions do not compile on the current toolchain.</w:t>
      </w:r>
    </w:p>
    <w:bookmarkEnd w:id="26"/>
    <w:bookmarkStart w:id="32" w:name="datasets"/>
    <w:p>
      <w:pPr>
        <w:pStyle w:val="Heading2"/>
      </w:pPr>
      <w:r>
        <w:t xml:space="preserve">Datasets</w:t>
      </w:r>
    </w:p>
    <w:tbl>
      <w:tblPr>
        <w:tblStyle w:val="Table"/>
        <w:tblW w:type="pct" w:w="5000"/>
        <w:tblLayout w:type="fixed"/>
        <w:tblLook w:firstRow="1" w:lastRow="0" w:firstColumn="0" w:lastColumn="0" w:noHBand="0" w:noVBand="0" w:val="0020"/>
      </w:tblPr>
      <w:tblGrid>
        <w:gridCol w:w="1584"/>
        <w:gridCol w:w="1218"/>
        <w:gridCol w:w="852"/>
        <w:gridCol w:w="1340"/>
        <w:gridCol w:w="731"/>
        <w:gridCol w:w="852"/>
        <w:gridCol w:w="1340"/>
      </w:tblGrid>
      <w:tr>
        <w:trPr>
          <w:tblHeader w:val="on"/>
        </w:trPr>
        <w:tc>
          <w:tcPr/>
          <w:p>
            <w:pPr>
              <w:pStyle w:val="Compact"/>
            </w:pPr>
            <w:r>
              <w:t xml:space="preserve">dataset</w:t>
            </w:r>
          </w:p>
        </w:tc>
        <w:tc>
          <w:tcPr/>
          <w:p>
            <w:pPr>
              <w:pStyle w:val="Compact"/>
            </w:pPr>
            <w:r>
              <w:t xml:space="preserve">source</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hyperlink r:id="rId27">
              <w:r>
                <w:rPr>
                  <w:rStyle w:val="Hyperlink"/>
                </w:rPr>
                <w:t xml:space="preserve">[Travaglini 2020]</w:t>
              </w:r>
            </w:hyperlink>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hyperlink r:id="rId28">
              <w:r>
                <w:rPr>
                  <w:rStyle w:val="Hyperlink"/>
                </w:rPr>
                <w:t xml:space="preserve">[Sikkema 2023]</w:t>
              </w:r>
            </w:hyperlink>
            <w:r>
              <w:t xml:space="preserve"> </w:t>
            </w:r>
            <w:r>
              <w:t xml:space="preserve">→</w:t>
            </w:r>
            <w:r>
              <w:t xml:space="preserve"> </w:t>
            </w:r>
            <w:hyperlink r:id="rId27">
              <w:r>
                <w:rPr>
                  <w:rStyle w:val="Hyperlink"/>
                </w:rPr>
                <w:t xml:space="preserve">[Travaglini 2020]</w:t>
              </w:r>
            </w:hyperlink>
          </w:p>
        </w:tc>
        <w:tc>
          <w:tcPr/>
          <w:p>
            <w:pPr>
              <w:pStyle w:val="Compact"/>
            </w:pPr>
            <w:r>
              <w:t xml:space="preserve">cross-dataset</w:t>
            </w:r>
          </w:p>
        </w:tc>
        <w:tc>
          <w:tcPr/>
          <w:p>
            <w:pPr>
              <w:pStyle w:val="Compact"/>
            </w:pPr>
            <w:r>
              <w:t xml:space="preserve">lung (HLCA → 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hyperlink r:id="rId29">
              <w:r>
                <w:rPr>
                  <w:rStyle w:val="Hyperlink"/>
                </w:rPr>
                <w:t xml:space="preserve">[Edgar 2026]</w:t>
              </w:r>
            </w:hyperlink>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hyperlink r:id="rId29">
              <w:r>
                <w:rPr>
                  <w:rStyle w:val="Hyperlink"/>
                </w:rPr>
                <w:t xml:space="preserve">[Edgar 2026]</w:t>
              </w:r>
            </w:hyperlink>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hyperlink r:id="rId30">
              <w:r>
                <w:rPr>
                  <w:rStyle w:val="Hyperlink"/>
                </w:rPr>
                <w:t xml:space="preserve">[Alegbe 2026]</w:t>
              </w:r>
            </w:hyperlink>
          </w:p>
        </w:tc>
        <w:tc>
          <w:tcPr/>
          <w:p>
            <w:pPr>
              <w:pStyle w:val="Compact"/>
            </w:pPr>
            <w:r>
              <w:t xml:space="preserve">within-dataset</w:t>
            </w:r>
          </w:p>
        </w:tc>
        <w:tc>
          <w:tcPr/>
          <w:p>
            <w:pPr>
              <w:pStyle w:val="Compact"/>
            </w:pPr>
            <w:r>
              <w:t xml:space="preserve">blood + gut (IBDverse)</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hyperlink r:id="rId31">
              <w:r>
                <w:rPr>
                  <w:rStyle w:val="Hyperlink"/>
                </w:rPr>
                <w:t xml:space="preserve">[10x Genomics 2016]</w:t>
              </w:r>
            </w:hyperlink>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rPr>
          <w:b/>
          <w:bCs/>
        </w:rPr>
        <w:t xml:space="preserve">Table 2.</w:t>
      </w:r>
      <w:r>
        <w:t xml:space="preserve"> </w:t>
      </w:r>
      <w:r>
        <w:t xml:space="preserve">The six benchmark datasets.</w:t>
      </w:r>
      <w:r>
        <w:t xml:space="preserve"> </w:t>
      </w:r>
      <w:r>
        <w:rPr>
          <w:i/>
          <w:iCs/>
        </w:rPr>
        <w:t xml:space="preserve">split</w:t>
      </w:r>
      <w:r>
        <w:t xml:space="preserve"> </w:t>
      </w:r>
      <w:r>
        <w:t xml:space="preserve">separates within-dataset holdouts from</w:t>
      </w:r>
      <w:r>
        <w:t xml:space="preserve"> </w:t>
      </w:r>
      <w:r>
        <w:t xml:space="preserve">cross-dataset and cross-study transfer;</w:t>
      </w:r>
      <w:r>
        <w:t xml:space="preserve"> </w:t>
      </w:r>
      <w:r>
        <w:rPr>
          <w:i/>
          <w:iCs/>
        </w:rPr>
        <w:t xml:space="preserve">genes</w:t>
      </w:r>
      <w:r>
        <w:t xml:space="preserve"> </w:t>
      </w:r>
      <w:r>
        <w:t xml:space="preserve">records whether the matrix is keyed by Ensembl</w:t>
      </w:r>
      <w:r>
        <w:t xml:space="preserve"> </w:t>
      </w:r>
      <w:r>
        <w:t xml:space="preserve">ids or by gene symbols, which decides who can read it.</w:t>
      </w:r>
    </w:p>
    <w:p>
      <w:pPr>
        <w:pStyle w:val="BodyText"/>
      </w:pPr>
      <w:r>
        <w:t xml:space="preserve">The blood+gut set is a subsample of</w:t>
      </w:r>
      <w:r>
        <w:t xml:space="preserve"> </w:t>
      </w:r>
      <w:r>
        <w:rPr>
          <w:b/>
          <w:bCs/>
        </w:rPr>
        <w:t xml:space="preserve">IBDverse</w:t>
      </w:r>
      <w:r>
        <w:t xml:space="preserve"> </w:t>
      </w:r>
      <w:r>
        <w:t xml:space="preserve">(Wellcome Sanger Institute; blood, terminal</w:t>
      </w:r>
      <w:r>
        <w:t xml:space="preserve"> </w:t>
      </w:r>
      <w:r>
        <w:t xml:space="preserve">ileum and rectum from 421 individuals), included here because 86 fine-grained labels make it</w:t>
      </w:r>
      <w:r>
        <w:t xml:space="preserve"> </w:t>
      </w:r>
      <w:r>
        <w:t xml:space="preserve">the high-cardinality stress case for the panel. It carries no Cell Ontology ids, so it</w:t>
      </w:r>
      <w:r>
        <w:t xml:space="preserve"> </w:t>
      </w:r>
      <w:r>
        <w:t xml:space="preserve">contributes to accuracy and macro-F1 but to no ontology-scored result.</w:t>
      </w:r>
    </w:p>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32"/>
    <w:bookmarkStart w:id="3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memory</w:t>
      </w:r>
      <w:r>
        <w:t xml:space="preserve"> </w:t>
      </w:r>
      <w:r>
        <w:t xml:space="preserve">(peak RSS, resident set size — the maximum physical memory the process</w:t>
      </w:r>
      <w:r>
        <w:t xml:space="preserve"> </w:t>
      </w:r>
      <w:r>
        <w:t xml:space="preserve">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Exact match scores it as a total failure; a</w:t>
      </w:r>
      <w:r>
        <w:t xml:space="preserve"> </w:t>
      </w:r>
      <w:r>
        <w:t xml:space="preserve">working scientist would accept it.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 the</w:t>
      </w:r>
      <w:r>
        <w:t xml:space="preserve"> </w:t>
      </w:r>
      <w:r>
        <w:rPr>
          <w:b/>
          <w:bCs/>
        </w:rPr>
        <w:t xml:space="preserve">Cell Ontology basic release of 2026-06-08</w:t>
      </w:r>
      <w:r>
        <w:t xml:space="preserve"> </w:t>
      </w:r>
      <w:r>
        <w:t xml:space="preserve">(sha256 73996c63…),</w:t>
      </w:r>
      <w:r>
        <w:t xml:space="preserve"> </w:t>
      </w:r>
      <w:r>
        <w:t xml:space="preserve">resolved once and reused by every scoring pass. This is not a hypothetical concern:</w:t>
      </w:r>
      <w:r>
        <w:t xml:space="preserve"> </w:t>
      </w:r>
      <w:r>
        <w:t xml:space="preserve">re-running lung_cross against a later-fetched release reproduced the splits exactly (14,390</w:t>
      </w:r>
      <w:r>
        <w:t xml:space="preserve"> </w:t>
      </w:r>
      <w:r>
        <w:t xml:space="preserve">reference / 13,550 query cells) and still moved concordance by 0.003, with no model changing.</w:t>
      </w:r>
      <w:r>
        <w:t xml:space="preserve"> </w:t>
      </w:r>
      <w:r>
        <w:t xml:space="preserve">That release, its checksum, and pinned versions for all six benchmark environments are</w:t>
      </w:r>
      <w:r>
        <w:t xml:space="preserve"> </w:t>
      </w:r>
      <w:r>
        <w:t xml:space="preserve">recorded as lockfiles in the</w:t>
      </w:r>
      <w:r>
        <w:t xml:space="preserve"> </w:t>
      </w:r>
      <w:hyperlink r:id="rId33">
        <w:r>
          <w:rPr>
            <w:rStyle w:val="Hyperlink"/>
          </w:rPr>
          <w:t xml:space="preserve">benchmark repository</w:t>
        </w:r>
      </w:hyperlink>
      <w:r>
        <w:t xml:space="preserve">, which also carries a command that</w:t>
      </w:r>
      <w:r>
        <w:t xml:space="preserve"> </w:t>
      </w:r>
      <w:r>
        <w:t xml:space="preserve">reports any drift from them.</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exact-match accuracy is</w:t>
      </w:r>
      <w:r>
        <w:t xml:space="preserve"> </w:t>
      </w:r>
      <w:r>
        <w:t xml:space="preserve">a vocabulary artifact and the ranking, not the level, is what transfers.</w:t>
      </w:r>
    </w:p>
    <w:bookmarkEnd w:id="34"/>
    <w:bookmarkStart w:id="35" w:name="harness-isolation-and-hardware"/>
    <w:p>
      <w:pPr>
        <w:pStyle w:val="Heading2"/>
      </w:pPr>
      <w:r>
        <w:t xml:space="preserve">Harness, isolation, and hardware</w:t>
      </w:r>
    </w:p>
    <w:p>
      <w:pPr>
        <w:pStyle w:val="FirstParagraph"/>
      </w:pPr>
      <w:r>
        <w:t xml:space="preserve">Each method runs in</w:t>
      </w:r>
      <w:r>
        <w:t xml:space="preserve"> </w:t>
      </w:r>
      <w:r>
        <w:rPr>
          <w:b/>
          <w:bCs/>
        </w:rPr>
        <w:t xml:space="preserve">its own virtual environment, as a separate process</w:t>
      </w:r>
      <w:r>
        <w:t xml:space="preserve">, because the</w:t>
      </w:r>
      <w:r>
        <w:t xml:space="preserve"> </w:t>
      </w:r>
      <w:r>
        <w:t xml:space="preserve">dependency sets are mutually unsatisfiable — scVI-based methods, TensorFlow/Keras (Pan-human</w:t>
      </w:r>
      <w:r>
        <w:t xml:space="preserve"> </w:t>
      </w:r>
      <w:r>
        <w:t xml:space="preserve">Azimuth), R (SingleR, scmap) and the JAX core cannot coexist in one interpreter. One driver</w:t>
      </w:r>
      <w:r>
        <w:t xml:space="preserve"> </w:t>
      </w:r>
      <w:r>
        <w:t xml:space="preserve">builds the reference/query split</w:t>
      </w:r>
      <w:r>
        <w:t xml:space="preserve"> </w:t>
      </w:r>
      <w:r>
        <w:rPr>
          <w:b/>
          <w:bCs/>
        </w:rPr>
        <w:t xml:space="preserve">once per dataset</w:t>
      </w:r>
      <w:r>
        <w:t xml:space="preserve"> </w:t>
      </w:r>
      <w:r>
        <w:t xml:space="preserve">from a fixed seed and hands the</w:t>
      </w:r>
      <w:r>
        <w:t xml:space="preserve"> </w:t>
      </w:r>
      <w:r>
        <w:t xml:space="preserve">identical pair to every method, so 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memory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matched</w:t>
      </w:r>
      <w:r>
        <w:t xml:space="preserve"> </w:t>
      </w:r>
      <w:r>
        <w:t xml:space="preserve">concurrency matters and is discussed (§2.10).</w:t>
      </w:r>
    </w:p>
    <w:bookmarkEnd w:id="35"/>
    <w:bookmarkStart w:id="37"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in the</w:t>
      </w:r>
      <w:r>
        <w:t xml:space="preserve"> </w:t>
      </w:r>
      <w:hyperlink r:id="rId33">
        <w:r>
          <w:rPr>
            <w:rStyle w:val="Hyperlink"/>
          </w:rPr>
          <w:t xml:space="preserve">benchmark repository</w:t>
        </w:r>
      </w:hyperlink>
      <w:r>
        <w:t xml:space="preserve">.</w:t>
      </w:r>
    </w:p>
    <w:p>
      <w:pPr>
        <w:pStyle w:val="BodyText"/>
      </w:pPr>
      <w:r>
        <w:rPr>
          <w:b/>
          <w:bCs/>
        </w:rPr>
        <w:t xml:space="preserve">Sampling.</w:t>
      </w:r>
      <w:r>
        <w:t xml:space="preserve"> </w:t>
      </w:r>
      <w:r>
        <w:t xml:space="preserve">Every primary cell for one organism in the CELLxGENE Census</w:t>
      </w:r>
      <w:r>
        <w:t xml:space="preserve"> </w:t>
      </w:r>
      <w:hyperlink r:id="rId36">
        <w:r>
          <w:rPr>
            <w:rStyle w:val="Hyperlink"/>
          </w:rPr>
          <w:t xml:space="preserve">[CZI Census 2025]</w:t>
        </w:r>
      </w:hyperlink>
      <w:r>
        <w:t xml:space="preserve"> </w:t>
      </w:r>
      <w:r>
        <w:t xml:space="preserve">— primary meaning the copy the census designates canonical, so cells deposited in more than</w:t>
      </w:r>
      <w:r>
        <w:t xml:space="preserve"> </w:t>
      </w:r>
      <w:r>
        <w:t xml:space="preserve">one study are counted once — stratified by cell type at a fixed cap per type: 40 for</w:t>
      </w:r>
      <w:r>
        <w:t xml:space="preserve"> </w:t>
      </w:r>
      <w:r>
        <w:rPr>
          <w:rStyle w:val="VerbatimChar"/>
        </w:rPr>
        <w:t xml:space="preserve">broad_human_v1</w:t>
      </w:r>
      <w:r>
        <w:t xml:space="preserve">, 60 for the later human and mouse pulls. Types with fewer than 12 cells are</w:t>
      </w:r>
      <w:r>
        <w:t xml:space="preserve"> </w:t>
      </w:r>
      <w:r>
        <w:t xml:space="preserve">dropped, as are labels that carry no information (</w:t>
      </w:r>
      <w:r>
        <w:t xml:space="preserve">“unknown”</w:t>
      </w:r>
      <w:r>
        <w:t xml:space="preserve">,</w:t>
      </w:r>
      <w:r>
        <w:t xml:space="preserve"> </w:t>
      </w:r>
      <w:r>
        <w:t xml:space="preserve">“native cell”</w:t>
      </w:r>
      <w:r>
        <w:t xml:space="preserve">,</w:t>
      </w:r>
      <w:r>
        <w:t xml:space="preserve"> </w:t>
      </w:r>
      <w:r>
        <w:t xml:space="preserve">“eukaryotic</w:t>
      </w:r>
      <w:r>
        <w:t xml:space="preserve"> </w:t>
      </w:r>
      <w:r>
        <w:t xml:space="preserve">cell”</w:t>
      </w:r>
      <w:r>
        <w:t xml:space="preserve">,</w:t>
      </w:r>
      <w:r>
        <w:t xml:space="preserve"> </w:t>
      </w:r>
      <w:r>
        <w:t xml:space="preserve">“animal cell”</w:t>
      </w:r>
      <w:r>
        <w:t xml:space="preserve">). The pull is checkpointed every ten datasets and retried, since</w:t>
      </w:r>
      <w:r>
        <w:t xml:space="preserve"> </w:t>
      </w:r>
      <w:r>
        <w:t xml:space="preserve">transient object-store read errors are routine at this scale. Genes are carried under both</w:t>
      </w:r>
      <w:r>
        <w:t xml:space="preserve"> </w:t>
      </w:r>
      <w:r>
        <w:t xml:space="preserve">Ensembl ids and symbols, because a symbol-keyed consumer cannot use an Ensembl-only pull.</w:t>
      </w:r>
      <w:r>
        <w:t xml:space="preserve"> </w:t>
      </w:r>
      <w:r>
        <w:t xml:space="preserve">The census</w:t>
      </w:r>
      <w:r>
        <w:t xml:space="preserve"> </w:t>
      </w:r>
      <w:r>
        <w:t xml:space="preserve">“stable”</w:t>
      </w:r>
      <w:r>
        <w:t xml:space="preserve"> </w:t>
      </w:r>
      <w:r>
        <w:t xml:space="preserve">alias is a moving pointer, so the release it resolved to is recorded;</w:t>
      </w:r>
      <w:r>
        <w:t xml:space="preserve"> </w:t>
      </w:r>
      <w:r>
        <w:t xml:space="preserve">every reference here comes from</w:t>
      </w:r>
      <w:r>
        <w:t xml:space="preserve"> </w:t>
      </w:r>
      <w:r>
        <w:rPr>
          <w:b/>
          <w:bCs/>
        </w:rPr>
        <w:t xml:space="preserve">census 2025-11-08</w:t>
      </w:r>
      <w:r>
        <w:t xml:space="preserve">.</w:t>
      </w:r>
    </w:p>
    <w:p>
      <w:pPr>
        <w:pStyle w:val="BodyText"/>
      </w:pPr>
      <w:r>
        <w:rPr>
          <w:b/>
          <w:bCs/>
        </w:rPr>
        <w:t xml:space="preserve">Coarse hierarchy — two interchangeable routes.</w:t>
      </w:r>
      <w:r>
        <w:t xml:space="preserve"> </w:t>
      </w:r>
      <w:r>
        <w:t xml:space="preserve">The model is a coarse classifier over</w:t>
      </w:r>
      <w:r>
        <w:t xml:space="preserve"> </w:t>
      </w:r>
      <w:r>
        <w:t xml:space="preserve">groups plus one fine classifier per group, and the grouping comes from either:</w:t>
      </w:r>
    </w:p>
    <w:p>
      <w:pPr>
        <w:pStyle w:val="Compact"/>
        <w:numPr>
          <w:ilvl w:val="0"/>
          <w:numId w:val="1004"/>
        </w:numPr>
      </w:pPr>
      <w:r>
        <w:rPr>
          <w:b/>
          <w:bCs/>
        </w:rPr>
        <w:t xml:space="preserve">Foundation-model embeddings.</w:t>
      </w:r>
      <w:r>
        <w:t xml:space="preserve"> </w:t>
      </w:r>
      <w:r>
        <w:t xml:space="preserve">scPRINT (medium-v1.5) embeds the reference once in</w:t>
      </w:r>
      <w:r>
        <w:t xml:space="preserve"> </w:t>
      </w:r>
      <w:r>
        <w:t xml:space="preserve">4,000-cell chunks; per-cell-type centroids are Ward-clustered into roughly √(number of</w:t>
      </w:r>
      <w:r>
        <w:t xml:space="preserve"> </w:t>
      </w:r>
      <w:r>
        <w:t xml:space="preserve">types) groups, with a floor of eight.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4"/>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compares the two routes against a</w:t>
      </w:r>
      <w:r>
        <w:t xml:space="preserve"> </w:t>
      </w:r>
      <w:r>
        <w:t xml:space="preserve">random-grouping control.</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t xml:space="preserve">the confidence threshold to trade coverage against accuracy on kept cells — the table each</w:t>
      </w:r>
      <w:r>
        <w:t xml:space="preserve"> </w:t>
      </w:r>
      <w:r>
        <w:t xml:space="preserve">shipped reference reports.</w:t>
      </w:r>
    </w:p>
    <w:p>
      <w:pPr>
        <w:pStyle w:val="BodyText"/>
      </w:pPr>
      <w:r>
        <w:rPr>
          <w:b/>
          <w:bCs/>
        </w:rPr>
        <w:t xml:space="preserve">Shipping and verification.</w:t>
      </w:r>
      <w:r>
        <w:t xml:space="preserve"> </w:t>
      </w:r>
      <w:r>
        <w:t xml:space="preserve">Each reference ships with a build record: census release,</w:t>
      </w:r>
      <w:r>
        <w:t xml:space="preserve"> </w:t>
      </w:r>
      <w:r>
        <w:t xml:space="preserve">corpus sizes, hierarchy route, organism and calibration table. Because a rebuild can train</w:t>
      </w:r>
      <w:r>
        <w:t xml:space="preserve"> </w:t>
      </w:r>
      <w:r>
        <w:t xml:space="preserve">cleanly and annotate</w:t>
      </w:r>
      <w:r>
        <w:t xml:space="preserve"> </w:t>
      </w:r>
      <w:r>
        <w:rPr>
          <w:i/>
          <w:iCs/>
        </w:rPr>
        <w:t xml:space="preserve">worse</w:t>
      </w:r>
      <w:r>
        <w:t xml:space="preserve">, the previous reference is backed up and the new one is scored</w:t>
      </w:r>
      <w:r>
        <w:t xml:space="preserve"> </w:t>
      </w:r>
      <w:r>
        <w:t xml:space="preserve">on a held-out atlas before it is kept. For</w:t>
      </w:r>
      <w:r>
        <w:t xml:space="preserve"> </w:t>
      </w:r>
      <w:r>
        <w:rPr>
          <w:rStyle w:val="VerbatimChar"/>
        </w:rPr>
        <w:t xml:space="preserve">broad_mouse_v1</w:t>
      </w:r>
      <w:r>
        <w:t xml:space="preserve"> </w:t>
      </w:r>
      <w:r>
        <w:t xml:space="preserve">the test set is carved from the</w:t>
      </w:r>
      <w:r>
        <w:t xml:space="preserve"> </w:t>
      </w:r>
      <w:r>
        <w:t xml:space="preserve">census itself: two datasets are excluded from the reference sample and re-pulled as the</w:t>
      </w:r>
      <w:r>
        <w:t xml:space="preserve"> </w:t>
      </w:r>
      <w:r>
        <w:t xml:space="preserve">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 not merely held-out cells.</w:t>
      </w:r>
    </w:p>
    <w:bookmarkEnd w:id="37"/>
    <w:bookmarkStart w:id="38" w:name="distilling-a-pretrained-annotator"/>
    <w:p>
      <w:pPr>
        <w:pStyle w:val="Heading2"/>
      </w:pPr>
      <w:r>
        <w:t xml:space="preserve">Distilling a pretrained annotator</w:t>
      </w:r>
    </w:p>
    <w:p>
      <w:pPr>
        <w:pStyle w:val="FirstParagraph"/>
      </w:pPr>
      <w:r>
        <w:t xml:space="preserve">A broad reference can also be built without labels and without a GPU, by taking both the label</w:t>
      </w:r>
      <w:r>
        <w:t xml:space="preserve"> </w:t>
      </w:r>
      <w:r>
        <w:t xml:space="preserve">vocabulary and the hierarchy from an existing pretrained annotator.</w:t>
      </w:r>
      <w:r>
        <w:t xml:space="preserve"> </w:t>
      </w:r>
      <w:r>
        <w:t xml:space="preserve">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Pan-human Azimuth labels a corpus of raw counts through its low-level API</w:t>
      </w:r>
      <w:r>
        <w:t xml:space="preserve"> </w:t>
      </w:r>
      <w:r>
        <w:t xml:space="preserve">in batches of 8,192, which loads the weights once rather than once per call. All eight levels</w:t>
      </w:r>
      <w:r>
        <w:t xml:space="preserve"> </w:t>
      </w:r>
      <w:r>
        <w:t xml:space="preserve">are retained. Where the package cannot reconcile a refined level with its coarser ones it</w:t>
      </w:r>
      <w:r>
        <w:t xml:space="preserve"> </w:t>
      </w:r>
      <w:r>
        <w:t xml:space="preserve">blanks that column;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The student is a hierarchical actinn-jax reference whose</w:t>
      </w:r>
      <w:r>
        <w:t xml:space="preserve"> </w:t>
      </w:r>
      <w:r>
        <w:rPr>
          <w:b/>
          <w:bCs/>
        </w:rPr>
        <w:t xml:space="preserve">classes</w:t>
      </w:r>
      <w:r>
        <w:t xml:space="preserve"> </w:t>
      </w:r>
      <w:r>
        <w:t xml:space="preserve">are</w:t>
      </w:r>
      <w:r>
        <w:t xml:space="preserve"> </w:t>
      </w:r>
      <w:r>
        <w:t xml:space="preserve">the teacher’s refined fine labels (including its trained</w:t>
      </w:r>
      <w:r>
        <w:t xml:space="preserve"> </w:t>
      </w:r>
      <w:r>
        <w:rPr>
          <w:rStyle w:val="VerbatimChar"/>
        </w:rPr>
        <w:t xml:space="preserve">Unassigned</w:t>
      </w:r>
      <w:r>
        <w:t xml:space="preserve"> </w:t>
      </w:r>
      <w:r>
        <w:t xml:space="preserve">quality-control class)</w:t>
      </w:r>
      <w:r>
        <w:t xml:space="preserve"> </w:t>
      </w:r>
      <w:r>
        <w:t xml:space="preserve">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Note</w:t>
      </w:r>
      <w:r>
        <w:t xml:space="preserve"> </w:t>
      </w:r>
      <w:r>
        <w:t xml:space="preserve">that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38"/>
    <w:bookmarkStart w:id="39"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5"/>
        </w:numPr>
      </w:pPr>
      <w:r>
        <w:rPr>
          <w:b/>
          <w:bCs/>
        </w:rPr>
        <w:t xml:space="preserve">Confidence abstention.</w:t>
      </w:r>
      <w:r>
        <w:t xml:space="preserve"> </w:t>
      </w:r>
      <w:r>
        <w:t xml:space="preserve">Cells whose final probability is below a threshold are relabeled</w:t>
      </w:r>
      <w:r>
        <w:t xml:space="preserve"> </w:t>
      </w:r>
      <w:r>
        <w:t xml:space="preserve">“unknown”</w:t>
      </w:r>
      <w:r>
        <w:t xml:space="preserve"> </w:t>
      </w:r>
      <w:r>
        <w:t xml:space="preserve">rather than forced to the nearest class. Calibrated per reference (§2.6).</w:t>
      </w:r>
    </w:p>
    <w:p>
      <w:pPr>
        <w:pStyle w:val="Compact"/>
        <w:numPr>
          <w:ilvl w:val="0"/>
          <w:numId w:val="1005"/>
        </w:numPr>
      </w:pPr>
      <w:r>
        <w:rPr>
          <w:b/>
          <w:bCs/>
        </w:rPr>
        <w:t xml:space="preserve">Refinement to the query.</w:t>
      </w:r>
      <w:r>
        <w:t xml:space="preserve"> </w:t>
      </w:r>
      <w:r>
        <w:t xml:space="preserve">The reference’s class set is masked to those classes the</w:t>
      </w:r>
      <w:r>
        <w:t xml:space="preserve"> </w:t>
      </w:r>
      <w:r>
        <w:t xml:space="preserve">query’s own predictions actually support, and the softmax renormalized — no ground truth,</w:t>
      </w:r>
      <w:r>
        <w:t xml:space="preserve"> </w:t>
      </w:r>
      <w:r>
        <w:t xml:space="preserve">no retraining.</w:t>
      </w:r>
    </w:p>
    <w:p>
      <w:pPr>
        <w:pStyle w:val="Compact"/>
        <w:numPr>
          <w:ilvl w:val="0"/>
          <w:numId w:val="1005"/>
        </w:numPr>
      </w:pPr>
      <w:r>
        <w:rPr>
          <w:b/>
          <w:bCs/>
        </w:rPr>
        <w:t xml:space="preserve">Refinement to a tissue.</w:t>
      </w:r>
      <w:r>
        <w:t xml:space="preserve"> </w:t>
      </w:r>
      <w:r>
        <w:t xml:space="preserve">Classes are masked to those the census records in the given</w:t>
      </w:r>
      <w:r>
        <w:t xml:space="preserve"> </w:t>
      </w:r>
      <w:r>
        <w:t xml:space="preserve">tissue, while</w:t>
      </w:r>
      <w:r>
        <w:t xml:space="preserve"> </w:t>
      </w:r>
      <w:r>
        <w:rPr>
          <w:b/>
          <w:bCs/>
        </w:rPr>
        <w:t xml:space="preserve">pan-tissue</w:t>
      </w:r>
      <w:r>
        <w:t xml:space="preserve"> </w:t>
      </w:r>
      <w:r>
        <w:t xml:space="preserve">types (immune, endothelial, stromal) stay available</w:t>
      </w:r>
      <w:r>
        <w:t xml:space="preserve"> </w:t>
      </w:r>
      <w:r>
        <w:t xml:space="preserve">everywhere, so liver-resident T cells are unaffected. The per-class tissue map is baked</w:t>
      </w:r>
      <w:r>
        <w:t xml:space="preserve"> </w:t>
      </w:r>
      <w:r>
        <w:t xml:space="preserve">into the shipped reference; the tissue is given explicitly or read from the query’s own</w:t>
      </w:r>
      <w:r>
        <w:t xml:space="preserve"> </w:t>
      </w:r>
      <w:r>
        <w:t xml:space="preserve">metadata, with common synonyms (PBMC→blood, hepatic→liver) recognized. A tissue outside</w:t>
      </w:r>
      <w:r>
        <w:t xml:space="preserve"> </w:t>
      </w:r>
      <w:r>
        <w:t xml:space="preserve">the reference’s vocabulary imposes no filter rather than an empty one.</w:t>
      </w:r>
    </w:p>
    <w:p>
      <w:pPr>
        <w:pStyle w:val="Compact"/>
        <w:numPr>
          <w:ilvl w:val="0"/>
          <w:numId w:val="1005"/>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w:t>
      </w:r>
      <w:r>
        <w:rPr>
          <w:i/>
          <w:iCs/>
        </w:rPr>
        <w:t xml:space="preserve"> </w:t>
      </w:r>
      <w:r>
        <w:rPr>
          <w:i/>
          <w:iCs/>
        </w:rPr>
        <w:t xml:space="preserve">explain</w:t>
      </w:r>
      <w:r>
        <w:t xml:space="preserve">. Clusters that are both large enough to be a real population and predominantly</w:t>
      </w:r>
      <w:r>
        <w:t xml:space="preserve"> </w:t>
      </w:r>
      <w:r>
        <w:t xml:space="preserve">low-confidence are flagged, with marker genes reported for each. This is distinct from</w:t>
      </w:r>
      <w:r>
        <w:t xml:space="preserve"> </w:t>
      </w:r>
      <w:r>
        <w:t xml:space="preserve">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w:t>
      </w:r>
    </w:p>
    <w:bookmarkEnd w:id="39"/>
    <w:bookmarkStart w:id="40" w:name="scaling-protocol"/>
    <w:p>
      <w:pPr>
        <w:pStyle w:val="Heading2"/>
      </w:pPr>
      <w:r>
        <w:t xml:space="preserve">Scaling protocol</w:t>
      </w:r>
    </w:p>
    <w:p>
      <w:pPr>
        <w:pStyle w:val="FirstParagraph"/>
      </w:pPr>
      <w:r>
        <w:t xml:space="preserve">The reference is subsampled to five sizes up to</w:t>
      </w:r>
      <w:r>
        <w:t xml:space="preserve"> </w:t>
      </w:r>
      <w:r>
        <w:rPr>
          <w:b/>
          <w:bCs/>
        </w:rPr>
        <w:t xml:space="preserve">49k cells</w:t>
      </w:r>
      <w:r>
        <w:t xml:space="preserve"> </w:t>
      </w:r>
      <w:r>
        <w:t xml:space="preserve">with the query held fixed, so</w:t>
      </w:r>
      <w:r>
        <w:t xml:space="preserve"> </w:t>
      </w:r>
      <w:r>
        <w:t xml:space="preserve">that accuracy, fit time, predict time and peak memory are functions of reference size alone.</w:t>
      </w:r>
      <w:r>
        <w:t xml:space="preserve"> </w:t>
      </w:r>
      <w:r>
        <w:t xml:space="preserve">Reported per method. The sweep exists to find where one method overtakes another as the</w:t>
      </w:r>
      <w:r>
        <w:t xml:space="preserve"> </w:t>
      </w:r>
      <w:r>
        <w:t xml:space="preserve">reference grows, which no single reference size can show</w:t>
      </w:r>
    </w:p>
    <w:bookmarkEnd w:id="40"/>
    <w:bookmarkStart w:id="42"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hyperlink r:id="rId41">
        <w:r>
          <w:rPr>
            <w:rStyle w:val="Hyperlink"/>
          </w:rPr>
          <w:t xml:space="preserve">[Open Problems 2024]</w:t>
        </w:r>
      </w:hyperlink>
      <w:r>
        <w:t xml:space="preserve"> </w:t>
      </w:r>
      <w:r>
        <w:t xml:space="preserve">supplies the</w:t>
      </w:r>
      <w:r>
        <w:t xml:space="preserve"> </w:t>
      </w:r>
      <w:r>
        <w:t xml:space="preserve">datasets, metrics and ranking — none chosen by us. actinn-jax is packaged as a viash 0.9.7</w:t>
      </w:r>
      <w:r>
        <w:t xml:space="preserve"> </w:t>
      </w:r>
      <w:r>
        <w:t xml:space="preserve">component declaring the normalization it expects, and run through the project’s own Nextflow</w:t>
      </w:r>
      <w:r>
        <w:t xml:space="preserve"> </w:t>
      </w:r>
      <w:r>
        <w:t xml:space="preserve">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rPr>
          <w:b/>
          <w:bCs/>
        </w:rPr>
        <w:t xml:space="preserve">Where each number is measured.</w:t>
      </w:r>
      <w:r>
        <w:t xml:space="preserve"> </w:t>
      </w:r>
      <w:r>
        <w:t xml:space="preserve">The paper reports two environments. The in-house panel</w:t>
      </w:r>
      <w:r>
        <w:t xml:space="preserve"> </w:t>
      </w:r>
      <w:r>
        <w:t xml:space="preserve">(§3.1–§3.5) runs on the Apple Silicon laptop described in §2.5. The Open Problems results</w:t>
      </w:r>
      <w:r>
        <w:t xml:space="preserve"> </w:t>
      </w:r>
      <w:r>
        <w:t xml:space="preserve">(§3.7) run on AWS</w:t>
      </w:r>
      <w:r>
        <w:t xml:space="preserve"> </w:t>
      </w:r>
      <w:r>
        <w:rPr>
          <w:rStyle w:val="VerbatimChar"/>
        </w:rPr>
        <w:t xml:space="preserve">r7i.8xlarge</w:t>
      </w:r>
      <w:r>
        <w:t xml:space="preserve"> </w:t>
      </w:r>
      <w:r>
        <w:t xml:space="preserve">instances (32 vCPU, 247 GB) through OP’s own Nextflow</w:t>
      </w:r>
      <w:r>
        <w:t xml:space="preserve"> </w:t>
      </w:r>
      <w:r>
        <w:t xml:space="preserve">pipeline, two tasks at a time.</w:t>
      </w:r>
    </w:p>
    <w:p>
      <w:pPr>
        <w:pStyle w:val="BodyText"/>
      </w:pPr>
      <w:r>
        <w:rPr>
          <w:b/>
          <w:bCs/>
        </w:rPr>
        <w:t xml:space="preserve">Accuracy</w:t>
      </w:r>
      <w:r>
        <w:t xml:space="preserve"> </w:t>
      </w:r>
      <w:r>
        <w:t xml:space="preserve">in Table 10 comes from a single AWS run covering all eleven methods, so every</w:t>
      </w:r>
      <w:r>
        <w:t xml:space="preserve"> </w:t>
      </w:r>
      <w:r>
        <w:t xml:space="preserve">score is one harness, one machine, one invocation.</w:t>
      </w:r>
    </w:p>
    <w:p>
      <w:pPr>
        <w:pStyle w:val="BodyText"/>
      </w:pPr>
      <w:r>
        <w:rPr>
          <w:b/>
          <w:bCs/>
        </w:rPr>
        <w:t xml:space="preserve">Cost</w:t>
      </w:r>
      <w:r>
        <w:t xml:space="preserve"> </w:t>
      </w:r>
      <w:r>
        <w:t xml:space="preserve">is reported as a ratio to actinn-jax rather than in seconds, because wall-clock on a</w:t>
      </w:r>
      <w:r>
        <w:t xml:space="preserve"> </w:t>
      </w:r>
      <w:r>
        <w:t xml:space="preserve">shared box depends on what else is running: measured</w:t>
      </w:r>
      <w:r>
        <w:t xml:space="preserve"> </w:t>
      </w:r>
      <w:r>
        <w:rPr>
          <w:rStyle w:val="VerbatimChar"/>
        </w:rPr>
        <w:t xml:space="preserve">%cpu</w:t>
      </w:r>
      <w:r>
        <w:t xml:space="preserve"> </w:t>
      </w:r>
      <w:r>
        <w:t xml:space="preserve">spans 49% to 2338% across these</w:t>
      </w:r>
      <w:r>
        <w:t xml:space="preserve"> </w:t>
      </w:r>
      <w:r>
        <w:t xml:space="preserve">methods, and actinn-jax itself averaged 165 s/dataset when scheduled alongside OP’s seven and</w:t>
      </w:r>
      <w:r>
        <w:t xml:space="preserve"> </w:t>
      </w:r>
      <w:r>
        <w:t xml:space="preserve">87 s/dataset alongside our four. Ratios taken within one run are stable where absolute times</w:t>
      </w:r>
      <w:r>
        <w:t xml:space="preserve"> </w:t>
      </w:r>
      <w:r>
        <w:t xml:space="preserve">are not, and actinn-jax was included in both runs to join them. Peak memory does not move</w:t>
      </w:r>
      <w:r>
        <w:t xml:space="preserve"> </w:t>
      </w:r>
      <w:r>
        <w:t xml:space="preserve">with contention and is reported as measured.</w:t>
      </w:r>
    </w:p>
    <w:bookmarkEnd w:id="42"/>
    <w:bookmarkStart w:id="45"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6"/>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6"/>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6"/>
        </w:numPr>
      </w:pPr>
      <w:r>
        <w:rPr>
          <w:b/>
          <w:bCs/>
        </w:rPr>
        <w:t xml:space="preserve">Protein-embedding featurization</w:t>
      </w:r>
      <w:r>
        <w:t xml:space="preserve"> </w:t>
      </w:r>
      <w:r>
        <w:t xml:space="preserve">(negative control) — a CPU-only featurization in the style of</w:t>
      </w:r>
      <w:r>
        <w:t xml:space="preserve"> </w:t>
      </w:r>
      <w:r>
        <w:rPr>
          <w:b/>
          <w:bCs/>
        </w:rPr>
        <w:t xml:space="preserve">Universal Cell Embeddings (UCE)</w:t>
      </w:r>
      <w:r>
        <w:t xml:space="preserve"> </w:t>
      </w:r>
      <w:hyperlink r:id="rId43">
        <w:r>
          <w:rPr>
            <w:rStyle w:val="Hyperlink"/>
          </w:rPr>
          <w:t xml:space="preserve">[Rosen 2026]</w:t>
        </w:r>
      </w:hyperlink>
      <w:r>
        <w:t xml:space="preserve"> </w:t>
      </w:r>
      <w:r>
        <w:t xml:space="preserve">— an</w:t>
      </w:r>
      <w:r>
        <w:t xml:space="preserve"> </w:t>
      </w:r>
      <w:r>
        <w:t xml:space="preserve">expression-weighted mean of ESM2</w:t>
      </w:r>
      <w:r>
        <w:t xml:space="preserve"> </w:t>
      </w:r>
      <w:hyperlink r:id="rId44">
        <w:r>
          <w:rPr>
            <w:rStyle w:val="Hyperlink"/>
          </w:rPr>
          <w:t xml:space="preserve">[Lin 2023]</w:t>
        </w:r>
      </w:hyperlink>
      <w:r>
        <w:t xml:space="preserve"> </w:t>
      </w:r>
      <w:r>
        <w:t xml:space="preserve">protein-language-model gene embeddings — to test whether a foundation model’s value</w:t>
      </w:r>
      <w:r>
        <w:t xml:space="preserve"> </w:t>
      </w:r>
      <w:r>
        <w:t xml:space="preserve">survives a cheap pooling shortcut.</w:t>
      </w:r>
    </w:p>
    <w:bookmarkEnd w:id="45"/>
    <w:bookmarkEnd w:id="46"/>
    <w:bookmarkStart w:id="71" w:name="results"/>
    <w:p>
      <w:pPr>
        <w:pStyle w:val="Heading1"/>
      </w:pPr>
      <w:r>
        <w:t xml:space="preserve">Results</w:t>
      </w:r>
    </w:p>
    <w:bookmarkStart w:id="47" w:name="accuracy-and-cost"/>
    <w:p>
      <w:pPr>
        <w:pStyle w:val="Heading2"/>
      </w:pPr>
      <w:r>
        <w:t xml:space="preserve">Accuracy and cost</w:t>
      </w:r>
    </w:p>
    <w:p>
      <w:pPr>
        <w:pStyle w:val="FirstParagraph"/>
      </w:pPr>
      <w:r>
        <w:t xml:space="preserve">Accuracy is the mean over the</w:t>
      </w:r>
      <w:r>
        <w:t xml:space="preserve"> </w:t>
      </w:r>
      <w:r>
        <w:rPr>
          <w:b/>
          <w:bCs/>
        </w:rPr>
        <w:t xml:space="preserve">five shared-vocabulary datasets</w:t>
      </w:r>
      <w:r>
        <w:t xml:space="preserve"> </w:t>
      </w:r>
      <w:r>
        <w:t xml:space="preserve">(lung_cross</w:t>
      </w:r>
      <w:r>
        <w:t xml:space="preserve"> </w:t>
      </w:r>
      <w:r>
        <w:t xml:space="preserve">excluded — its exact-match accuracy is a vocabulary artifact, see the † note below; means over all</w:t>
      </w:r>
      <w:r>
        <w:t xml:space="preserve"> </w:t>
      </w:r>
      <w:r>
        <w:t xml:space="preserve">six are ~0.08 lower for every method, and reorder only scArches and actinn-jax, by 0.0004);</w:t>
      </w:r>
      <w:r>
        <w:t xml:space="preserve"> </w:t>
      </w:r>
      <w:r>
        <w:t xml:space="preserve">macro-F1 is the mean over all six, ontology concordance the mean over the four datasets that</w:t>
      </w:r>
      <w:r>
        <w:t xml:space="preserve"> </w:t>
      </w:r>
      <w:r>
        <w:t xml:space="preserve">carry Cell Ontology ids; cost is the mean per query (Table 3):</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(4)</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mem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3.</w:t>
      </w:r>
      <w:r>
        <w:t xml:space="preserve"> </w:t>
      </w:r>
      <w:r>
        <w:t xml:space="preserve">Accuracy and cost together, ordered by accuracy. Accuracy is the mean over the five</w:t>
      </w:r>
      <w:r>
        <w:t xml:space="preserve"> </w:t>
      </w:r>
      <w:r>
        <w:t xml:space="preserve">shared-vocabulary datasets, macro-F1 is the mean over all six, ontology concordance the mean</w:t>
      </w:r>
      <w:r>
        <w:t xml:space="preserve"> </w:t>
      </w:r>
      <w:r>
        <w:t xml:space="preserve">over the four datasets carrying Cell Ontology ids, and cost is the mean per query. Bold marks the best value in a column.</w:t>
      </w:r>
    </w:p>
    <w:p>
      <w:pPr>
        <w:pStyle w:val="BodyText"/>
      </w:pPr>
      <w:r>
        <w:t xml:space="preserve">*In Table 3, scANVI does most of its work in one train+predict pass, attributed to predict.</w:t>
      </w:r>
    </w:p>
    <w:p>
      <w:pPr>
        <w:pStyle w:val="BodyText"/>
      </w:pPr>
      <w:r>
        <w:t xml:space="preserve">The top four methods span</w:t>
      </w:r>
      <w:r>
        <w:t xml:space="preserve"> </w:t>
      </w:r>
      <w:r>
        <w:rPr>
          <w:b/>
          <w:bCs/>
        </w:rPr>
        <w:t xml:space="preserve">0.008 in accuracy, ~260× in predict time</w:t>
      </w:r>
      <w:r>
        <w:t xml:space="preserve"> </w:t>
      </w:r>
      <w:r>
        <w:t xml:space="preserve">(0.34 s to 89 s) and</w:t>
      </w:r>
      <w:r>
        <w:t xml:space="preserve"> </w:t>
      </w:r>
      <w:r>
        <w:t xml:space="preserve">2.4× in memory. scANVI sits within 0.002 of second place and</w:t>
      </w:r>
      <w:r>
        <w:t xml:space="preserve"> </w:t>
      </w:r>
      <w:r>
        <w:rPr>
          <w:b/>
          <w:bCs/>
        </w:rPr>
        <w:t xml:space="preserve">134× slower than actinn-jax</w:t>
      </w:r>
      <w:r>
        <w:t xml:space="preserve"> </w:t>
      </w:r>
      <w:r>
        <w:t xml:space="preserve">at tied accuracy. The linear pipeline is both the most accurate</w:t>
      </w:r>
      <w:r>
        <w:t xml:space="preserve"> </w:t>
      </w:r>
      <w:r>
        <w:t xml:space="preserve">and the fastest to fit, and pays for it in memory — 4294 vs 2399 MB — because ANOVA/PCA densify</w:t>
      </w:r>
      <w:r>
        <w:t xml:space="preserve"> </w:t>
      </w:r>
      <w:r>
        <w:t xml:space="preserve">a cells × genes matrix while actinn-jax stays sparse; that ~1.8× ratio widens to ~2× at atlas</w:t>
      </w:r>
      <w:r>
        <w:t xml:space="preserve"> </w:t>
      </w:r>
      <w:r>
        <w:t xml:space="preserve">scale (6.1 vs 13.2 GB at 49k cells, §4). The two profiles suit different jobs: one-shot</w:t>
      </w:r>
      <w:r>
        <w:t xml:space="preserve"> </w:t>
      </w:r>
      <w:r>
        <w:t xml:space="preserve">labeling,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176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Table 3, since they do not predict the dataset’s label</w:t>
      </w:r>
      <w:r>
        <w:t xml:space="preserve"> </w:t>
      </w:r>
      <w:r>
        <w:t xml:space="preserve">strings. They are scored by ontology concordance on the three datasets where reference and query</w:t>
      </w:r>
      <w:r>
        <w:t xml:space="preserve"> </w:t>
      </w:r>
      <w:r>
        <w:t xml:space="preserve">both carry CL ids and share a vocabulary,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0.201</w:t>
            </w:r>
          </w:p>
        </w:tc>
        <w:tc>
          <w:tcPr/>
          <w:p>
            <w:pPr>
              <w:pStyle w:val="Compact"/>
              <w:jc w:val="right"/>
            </w:pPr>
            <w:r>
              <w:t xml:space="preserve">—</w:t>
            </w:r>
          </w:p>
        </w:tc>
        <w:tc>
          <w:tcPr/>
          <w:p>
            <w:pPr>
              <w:pStyle w:val="Compact"/>
              <w:jc w:val="right"/>
            </w:pPr>
            <w:r>
              <w:t xml:space="preserve">—</w:t>
            </w:r>
          </w:p>
        </w:tc>
        <w:tc>
          <w:tcPr/>
          <w:p>
            <w:pPr>
              <w:pStyle w:val="Compact"/>
              <w:jc w:val="right"/>
            </w:pPr>
            <w:r>
              <w:t xml:space="preserve">62.3</w:t>
            </w:r>
          </w:p>
        </w:tc>
      </w:tr>
    </w:tbl>
    <w:p>
      <w:pPr>
        <w:pStyle w:val="BodyText"/>
      </w:pPr>
      <w:r>
        <w:rPr>
          <w:b/>
          <w:bCs/>
        </w:rPr>
        <w:t xml:space="preserve">Table 4.</w:t>
      </w:r>
      <w:r>
        <w:t xml:space="preserve"> </w:t>
      </w:r>
      <w:r>
        <w:t xml:space="preserve">Pretrained annotators, scored by ontology concordance only, on the three datasets</w:t>
      </w:r>
      <w:r>
        <w:t xml:space="preserve"> </w:t>
      </w:r>
      <w:r>
        <w:t xml:space="preserve">where reference and query both carry Cell Ontology ids and share a vocabulary — with reference-trained actinn-jax on</w:t>
      </w:r>
      <w:r>
        <w:t xml:space="preserve"> </w:t>
      </w:r>
      <w:r>
        <w:t xml:space="preserve">the same splits for scale. Not a like-for-like comparison; see the text below.</w:t>
      </w:r>
    </w:p>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0.201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The top of the accuracy table is a</w:t>
      </w:r>
      <w:r>
        <w:t xml:space="preserve"> </w:t>
      </w:r>
      <w:r>
        <w:rPr>
          <w:b/>
          <w:bCs/>
        </w:rPr>
        <w:t xml:space="preserve">four-way tie within 0.008</w:t>
      </w:r>
      <w:r>
        <w:t xml:space="preserve"> </w:t>
      </w:r>
      <w:r>
        <w:t xml:space="preserve">— the tuned</w:t>
      </w:r>
      <w:r>
        <w:t xml:space="preserve"> </w:t>
      </w:r>
      <w:r>
        <w:rPr>
          <w:b/>
          <w:bCs/>
        </w:rPr>
        <w:t xml:space="preserve">linear pipeline</w:t>
      </w:r>
      <w:r>
        <w:rPr>
          <w:b/>
          <w:bCs/>
        </w:rPr>
        <w:t xml:space="preserve"> </w:t>
      </w:r>
      <w:r>
        <w:rPr>
          <w:b/>
          <w:bCs/>
        </w:rPr>
        <w:t xml:space="preserve">(0.839)</w:t>
      </w:r>
      <w:r>
        <w:t xml:space="preserve">, scANVI (0.833), scArches (0.832) and actinn-jax (0.831) — led by the linear pipeline</w:t>
      </w:r>
      <w:r>
        <w:t xml:space="preserve"> </w:t>
      </w:r>
      <w:r>
        <w:t xml:space="preserve">rather than by a deep model. CellTypist (0.823) sits just outside it. actinn-jax has the best</w:t>
      </w:r>
      <w:r>
        <w:t xml:space="preserve"> </w:t>
      </w:r>
      <w:r>
        <w:t xml:space="preserve">ontology-aware concordance (0.811), marginally ahead of scANVI’s 0.809 — a gap well inside</w:t>
      </w:r>
      <w:r>
        <w:t xml:space="preserve"> </w:t>
      </w:r>
      <w:r>
        <w:t xml:space="preserve">repeat noise, so read it as a tie rather than a lead.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(§5),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0.752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w:t>
            </w:r>
          </w:p>
        </w:tc>
      </w:tr>
      <w:tr>
        <w:tc>
          <w:tcPr/>
          <w:p>
            <w:pPr>
              <w:pStyle w:val="Compact"/>
            </w:pPr>
            <w:r>
              <w:t xml:space="preserve">liver_cross (cross-study)</w:t>
            </w:r>
          </w:p>
        </w:tc>
        <w:tc>
          <w:tcPr/>
          <w:p>
            <w:pPr>
              <w:pStyle w:val="Compact"/>
            </w:pPr>
            <w:r>
              <w:rPr>
                <w:b/>
                <w:bCs/>
              </w:rPr>
              <w:t xml:space="preserve">0.686 exact / 0.731 ontology</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0.931</w:t>
            </w:r>
          </w:p>
        </w:tc>
      </w:tr>
    </w:tbl>
    <w:p>
      <w:pPr>
        <w:pStyle w:val="BodyText"/>
      </w:pPr>
      <w:r>
        <w:rPr>
          <w:b/>
          <w:bCs/>
        </w:rPr>
        <w:t xml:space="preserve">Table 5.</w:t>
      </w:r>
      <w:r>
        <w:t xml:space="preserve"> </w:t>
      </w:r>
      <w:r>
        <w:t xml:space="preserve">Per-dataset accuracy: actinn-jax against whichever method leads that dataset.</w:t>
      </w:r>
      <w:r>
        <w:t xml:space="preserve"> </w:t>
      </w:r>
      <w:r>
        <w:t xml:space="preserve">† on lung_cross the exact-match score is a vocabulary artifact, so ontology concordance is the</w:t>
      </w:r>
      <w:r>
        <w:t xml:space="preserve"> </w:t>
      </w:r>
      <w:r>
        <w:t xml:space="preserve">meaningful column.</w:t>
      </w:r>
    </w:p>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the weakest on accuracy and macro-F1 throughout (0.23 macro-F1 on</w:t>
      </w:r>
      <w:r>
        <w:t xml:space="preserve"> </w:t>
      </w:r>
      <w:r>
        <w:t xml:space="preserve">liver_cross), though not on ontology concordance.</w:t>
      </w:r>
    </w:p>
    <w:p>
      <w:pPr>
        <w:pStyle w:val="BodyText"/>
      </w:pPr>
      <w:r>
        <w:rPr>
          <w:b/>
          <w:bCs/>
        </w:rPr>
        <w:t xml:space="preserve">† lung_cross exact-match accuracy (~0.35 for every method) is a label-vocabulary artifact, not</w:t>
      </w:r>
      <w:r>
        <w:rPr>
          <w:b/>
          <w:bCs/>
        </w:rPr>
        <w:t xml:space="preserve"> </w:t>
      </w:r>
      <w:r>
        <w:rPr>
          <w:b/>
          <w:bCs/>
        </w:rPr>
        <w:t xml:space="preserve">a transfer failure.</w:t>
      </w:r>
      <w:r>
        <w:t xml:space="preserve"> </w:t>
      </w:r>
      <w:r>
        <w:t xml:space="preserve">HLCA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HLCA’s</w:t>
      </w:r>
      <w:r>
        <w:t xml:space="preserve"> </w:t>
      </w:r>
      <w:r>
        <w:t xml:space="preserve">vocabulary, so no classifier can emit the exact string. The mismatch is granularity: HLCA’s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HLCA-trained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HLCA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exact-match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47"/>
    <w:bookmarkStart w:id="51" w:name="the-accuracy-speed-frontier"/>
    <w:p>
      <w:pPr>
        <w:pStyle w:val="Heading2"/>
      </w:pPr>
      <w:r>
        <w:t xml:space="preserve">The accuracy × speed frontier</w:t>
      </w:r>
    </w:p>
    <w:p>
      <w:pPr>
        <w:pStyle w:val="FirstParagraph"/>
      </w:pPr>
      <w:r>
        <w:drawing>
          <wp:inline>
            <wp:extent cx="5334000" cy="3671222"/>
            <wp:effectExtent b="0" l="0" r="0" t="0"/>
            <wp:docPr descr="Pareto" title="" id="49" name="Picture"/>
            <a:graphic>
              <a:graphicData uri="http://schemas.openxmlformats.org/drawingml/2006/picture">
                <pic:pic>
                  <pic:nvPicPr>
                    <pic:cNvPr descr="/Users/iandriver/Downloads/actinn-jax-benchmark/docs/figures/fig_pareto_liver_intra.png" id="50" name="Picture"/>
                    <pic:cNvPicPr>
                      <a:picLocks noChangeArrowheads="1" noChangeAspect="1"/>
                    </pic:cNvPicPr>
                  </pic:nvPicPr>
                  <pic:blipFill>
                    <a:blip r:embed="rId48"/>
                    <a:stretch>
                      <a:fillRect/>
                    </a:stretch>
                  </pic:blipFill>
                  <pic:spPr bwMode="auto">
                    <a:xfrm>
                      <a:off x="0" y="0"/>
                      <a:ext cx="5334000" cy="367122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against total wall time on liver_intra. The tuned linear pipeline holds</w:t>
      </w:r>
      <w:r>
        <w:t xml:space="preserve"> </w:t>
      </w:r>
      <w:r>
        <w:t xml:space="preserve">the fast-frontier point; actinn-jax sits just inside it at this reference size, and what</w:t>
      </w:r>
      <w:r>
        <w:t xml:space="preserve"> </w:t>
      </w:r>
      <w:r>
        <w:t xml:space="preserve">separates it is visible only on the scaling axes of Figure 2.</w:t>
      </w:r>
    </w:p>
    <w:p>
      <w:pPr>
        <w:pStyle w:val="BodyText"/>
      </w:pPr>
      <w:r>
        <w:t xml:space="preserve">The</w:t>
      </w:r>
      <w:r>
        <w:t xml:space="preserve"> </w:t>
      </w:r>
      <w:r>
        <w:rPr>
          <w:b/>
          <w:bCs/>
        </w:rPr>
        <w:t xml:space="preserve">tuned linear pipeline</w:t>
      </w:r>
      <w:r>
        <w:t xml:space="preserve"> </w:t>
      </w:r>
      <w:r>
        <w:t xml:space="preserve">holds the fast-frontier point: highest matrix accuracy (0.839) at the lowest fit</w:t>
      </w:r>
      <w:r>
        <w:t xml:space="preserve"> </w:t>
      </w:r>
      <w:r>
        <w:t xml:space="preserve">time of any accurate method (3.0 s), placing it above and to the left of actinn-jax, SVM, kNN</w:t>
      </w:r>
      <w:r>
        <w:t xml:space="preserve"> </w:t>
      </w:r>
      <w:r>
        <w:t xml:space="preserve">and CellTypist. The deep methods buy little or nothing on accuracy here — at or below the</w:t>
      </w:r>
      <w:r>
        <w:t xml:space="preserve"> </w:t>
      </w:r>
      <w:r>
        <w:t xml:space="preserve">linear pipeline on every dataset except lung — for 36–373× the predict time. actinn-jax</w:t>
      </w:r>
      <w:r>
        <w:t xml:space="preserve"> </w:t>
      </w:r>
      <w:r>
        <w:t xml:space="preserve">sits just inside the frontier at this reference size; what separates it is not visible on a</w:t>
      </w:r>
      <w:r>
        <w:t xml:space="preserve"> </w:t>
      </w:r>
      <w:r>
        <w:t xml:space="preserve">fixed-size plot but on the scaling axes of §3.3 and §5: predict time that stays flat as the</w:t>
      </w:r>
      <w:r>
        <w:t xml:space="preserve"> </w:t>
      </w:r>
      <w:r>
        <w:t xml:space="preserve">reference grows, and ~2× lower peak memory that holds to atlas scale. The figure is drawn</w:t>
      </w:r>
      <w:r>
        <w:t xml:space="preserve"> </w:t>
      </w:r>
      <w:r>
        <w:t xml:space="preserve">from the liver_intra panel and depicts the ranking of Tables 3 and 5.</w:t>
      </w:r>
    </w:p>
    <w:bookmarkEnd w:id="51"/>
    <w:bookmarkStart w:id="55" w:name="scaling"/>
    <w:p>
      <w:pPr>
        <w:pStyle w:val="Heading2"/>
      </w:pPr>
      <w:r>
        <w:t xml:space="preserve">Scaling</w:t>
      </w:r>
    </w:p>
    <w:p>
      <w:pPr>
        <w:pStyle w:val="FirstParagraph"/>
      </w:pPr>
      <w:r>
        <w:drawing>
          <wp:inline>
            <wp:extent cx="5334000" cy="1970216"/>
            <wp:effectExtent b="0" l="0" r="0" t="0"/>
            <wp:docPr descr="scaling" title="" id="53" name="Picture"/>
            <a:graphic>
              <a:graphicData uri="http://schemas.openxmlformats.org/drawingml/2006/picture">
                <pic:pic>
                  <pic:nvPicPr>
                    <pic:cNvPr descr="/Users/iandriver/Downloads/actinn-jax-benchmark/docs/figures/fig_scaling.png" id="54" name="Picture"/>
                    <pic:cNvPicPr>
                      <a:picLocks noChangeArrowheads="1" noChangeAspect="1"/>
                    </pic:cNvPicPr>
                  </pic:nvPicPr>
                  <pic:blipFill>
                    <a:blip r:embed="rId52"/>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and predict time against reference size and label cardinality. Fit time grows</w:t>
      </w:r>
      <w:r>
        <w:t xml:space="preserve"> </w:t>
      </w:r>
      <w:r>
        <w:t xml:space="preserve">for every trained method; predict time stays flat and sub-second across the whole range.</w:t>
      </w:r>
    </w:p>
    <w:p>
      <w:pPr>
        <w:pStyle w:val="BodyText"/>
      </w:pPr>
      <w:r>
        <w:t xml:space="preserve">Fit time grows with reference size and with #cell types for all trained methods —</w:t>
      </w:r>
      <w:r>
        <w:t xml:space="preserve"> </w:t>
      </w:r>
      <w:r>
        <w:t xml:space="preserve">actinn-jax’s fit goes 2.6 s → 17.4 s → 23.5 s as the reference grows 965 → 14.8k → 24k</w:t>
      </w:r>
      <w:r>
        <w:t xml:space="preserve"> </w:t>
      </w:r>
      <w:r>
        <w:t xml:space="preserve">cells, below CellTypist (6 s → 71 s → 116 s) and SVM (4 s → 51 s → 80 s) at every size in</w:t>
      </w:r>
      <w:r>
        <w:t xml:space="preserve"> </w:t>
      </w:r>
      <w:r>
        <w:t xml:space="preserve">the sweep; kNN does no work at fit time beyond storing the reference, so all of its cost lands on</w:t>
      </w:r>
      <w:r>
        <w:t xml:space="preserve"> </w:t>
      </w:r>
      <w:r>
        <w:t xml:space="preserve">predict, where it is also the least accurate method here.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0.08–0.33 s whether the reference has 1k or 24k cells,</w:t>
      </w:r>
      <w:r>
        <w:rPr>
          <w:b/>
          <w:bCs/>
        </w:rPr>
        <w:t xml:space="preserve"> </w:t>
      </w:r>
      <w:r>
        <w:rPr>
          <w:b/>
          <w:bCs/>
        </w:rPr>
        <w:t xml:space="preserve">or 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(The</w:t>
      </w:r>
      <w:r>
        <w:t xml:space="preserve"> </w:t>
      </w:r>
      <w:r>
        <w:t xml:space="preserve">scaling script’s memory column is process-cumulative and not a clean per-size measurement;</w:t>
      </w:r>
      <w:r>
        <w:t xml:space="preserve"> </w:t>
      </w:r>
      <w:r>
        <w:t xml:space="preserve">per-method peak memory is reported from the isolated-subprocess matrix in §3.1.)</w:t>
      </w:r>
    </w:p>
    <w:bookmarkEnd w:id="55"/>
    <w:bookmarkStart w:id="59"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BodyText"/>
      </w:pPr>
      <w:r>
        <w:drawing>
          <wp:inline>
            <wp:extent cx="5334000" cy="1965681"/>
            <wp:effectExtent b="0" l="0" r="0" t="0"/>
            <wp:docPr descr="the broad pass and the focused pass on one query" title="" id="57" name="Picture"/>
            <a:graphic>
              <a:graphicData uri="http://schemas.openxmlformats.org/drawingml/2006/picture">
                <pic:pic>
                  <pic:nvPicPr>
                    <pic:cNvPr descr="/Users/iandriver/Downloads/actinn-jax-benchmark/docs/figures/fig_workflow_umap_ondata.png" id="58" name="Picture"/>
                    <pic:cNvPicPr>
                      <a:picLocks noChangeArrowheads="1" noChangeAspect="1"/>
                    </pic:cNvPicPr>
                  </pic:nvPicPr>
                  <pic:blipFill>
                    <a:blip r:embed="rId56"/>
                    <a:stretch>
                      <a:fillRect/>
                    </a:stretch>
                  </pic:blipFill>
                  <pic:spPr bwMode="auto">
                    <a:xfrm>
                      <a:off x="0" y="0"/>
                      <a:ext cx="5334000" cy="1965681"/>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The workflow on a withheld HLiCA liver study (3,396 cells), same embedding</w:t>
      </w:r>
      <w:r>
        <w:t xml:space="preserve"> </w:t>
      </w:r>
      <w:r>
        <w:t xml:space="preserve">throughout.</w:t>
      </w:r>
      <w:r>
        <w:t xml:space="preserve"> </w:t>
      </w:r>
      <w:r>
        <w:rPr>
          <w:i/>
          <w:iCs/>
        </w:rPr>
        <w:t xml:space="preserve">Left:</w:t>
      </w:r>
      <w:r>
        <w:t xml:space="preserve"> </w:t>
      </w:r>
      <w:r>
        <w:t xml:space="preserve">the shipped census reference spreads 137 of its 798 labels over the query</w:t>
      </w:r>
      <w:r>
        <w:t xml:space="preserve"> </w:t>
      </w:r>
      <w:r>
        <w:t xml:space="preserve">(concordance</w:t>
      </w:r>
      <w:r>
        <w:t xml:space="preserve"> </w:t>
      </w:r>
      <w:r>
        <w:rPr>
          <w:b/>
          <w:bCs/>
        </w:rPr>
        <w:t xml:space="preserve">0.34</w:t>
      </w:r>
      <w:r>
        <w:t xml:space="preserve">) — it is not trying to name subtypes.</w:t>
      </w:r>
      <w:r>
        <w:t xml:space="preserve"> </w:t>
      </w:r>
      <w:r>
        <w:rPr>
          <w:i/>
          <w:iCs/>
        </w:rPr>
        <w:t xml:space="preserve">Centre:</w:t>
      </w:r>
      <w:r>
        <w:t xml:space="preserve"> </w:t>
      </w:r>
      <w:r>
        <w:t xml:space="preserve">those calls resolved to</w:t>
      </w:r>
      <w:r>
        <w:t xml:space="preserve"> </w:t>
      </w:r>
      <w:r>
        <w:t xml:space="preserve">tissue through the reference’s per-class tissue map;</w:t>
      </w:r>
      <w:r>
        <w:t xml:space="preserve"> </w:t>
      </w:r>
      <w:r>
        <w:rPr>
          <w:b/>
          <w:bCs/>
        </w:rPr>
        <w:t xml:space="preserve">76%</w:t>
      </w:r>
      <w:r>
        <w:t xml:space="preserve"> </w:t>
      </w:r>
      <w:r>
        <w:t xml:space="preserve">of tissue-specific calls say</w:t>
      </w:r>
      <w:r>
        <w:t xml:space="preserve"> </w:t>
      </w:r>
      <w:r>
        <w:t xml:space="preserve">liver against 4% for the next candidate, which is the decision that selects the next</w:t>
      </w:r>
      <w:r>
        <w:t xml:space="preserve"> </w:t>
      </w:r>
      <w:r>
        <w:t xml:space="preserve">reference.</w:t>
      </w:r>
      <w:r>
        <w:t xml:space="preserve"> </w:t>
      </w:r>
      <w:r>
        <w:rPr>
          <w:i/>
          <w:iCs/>
        </w:rPr>
        <w:t xml:space="preserve">Right of center:</w:t>
      </w:r>
      <w:r>
        <w:t xml:space="preserve"> </w:t>
      </w:r>
      <w:r>
        <w:t xml:space="preserve">the 36-type liver reference re-annotates the same cells at</w:t>
      </w:r>
      <w:r>
        <w:t xml:space="preserve"> </w:t>
      </w:r>
      <w:r>
        <w:rPr>
          <w:b/>
          <w:bCs/>
        </w:rPr>
        <w:t xml:space="preserve">0.73</w:t>
      </w:r>
      <w:r>
        <w:t xml:space="preserve">, now tracking the clusters.</w:t>
      </w:r>
      <w:r>
        <w:t xml:space="preserve"> </w:t>
      </w:r>
      <w:r>
        <w:rPr>
          <w:i/>
          <w:iCs/>
        </w:rPr>
        <w:t xml:space="preserve">Right:</w:t>
      </w:r>
      <w:r>
        <w:t xml:space="preserve"> </w:t>
      </w:r>
      <w:r>
        <w:t xml:space="preserve">the study’s own labels on the shared palette.</w:t>
      </w:r>
      <w:r>
        <w:t xml:space="preserve"> </w:t>
      </w:r>
      <w:r>
        <w:t xml:space="preserve">Both models are leakage-free for this query: the focused reference is trained only on the six</w:t>
      </w:r>
      <w:r>
        <w:t xml:space="preserve"> </w:t>
      </w:r>
      <w:r>
        <w:t xml:space="preserve">non-withheld studies. Abstention is off in all panels, so the numbers measure labeling</w:t>
      </w:r>
      <w:r>
        <w:t xml:space="preserve"> </w:t>
      </w:r>
      <w:r>
        <w:t xml:space="preserve">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(§3.5). This is the</w:t>
      </w:r>
      <w:r>
        <w:t xml:space="preserve"> </w:t>
      </w:r>
      <w:r>
        <w:t xml:space="preserve">“what am I looking at”</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labeling a corpus with it and training actinn-jax on those labels</w:t>
      </w:r>
      <w:r>
        <w:t xml:space="preserve"> </w:t>
      </w:r>
      <w:r>
        <w:t xml:space="preserve">transfers both the vocabulary and the structure. That build needs</w:t>
      </w:r>
      <w:r>
        <w:t xml:space="preserve"> </w:t>
      </w:r>
      <w:r>
        <w:rPr>
          <w:b/>
          <w:bCs/>
        </w:rPr>
        <w:t xml:space="preserve">no GPU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6.</w:t>
      </w:r>
      <w:r>
        <w:t xml:space="preserve"> </w:t>
      </w:r>
      <w:r>
        <w:t xml:space="preserve">Three broad-pass entry points on 3,396 withheld cross-study liver cells: the</w:t>
      </w:r>
      <w:r>
        <w:t xml:space="preserve"> </w:t>
      </w:r>
      <w:r>
        <w:t xml:space="preserve">census-built reference, the Pan-human Azimuth teacher, and the model distilled from that</w:t>
      </w:r>
      <w:r>
        <w:t xml:space="preserve"> </w:t>
      </w:r>
      <w:r>
        <w:t xml:space="preserve">teacher.</w:t>
      </w:r>
    </w:p>
    <w:p>
      <w:pPr>
        <w:pStyle w:val="BodyText"/>
      </w:pPr>
      <w:r>
        <w:t xml:space="preserve">This makes the entry point both better and ~3× faster than building it from the census</w:t>
      </w:r>
      <w:r>
        <w:t xml:space="preserve"> </w:t>
      </w:r>
      <w:r>
        <w:t xml:space="preserve">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Distillation itself therefore costs very little: on data neither model was</w:t>
      </w:r>
      <w:r>
        <w:t xml:space="preserve"> </w:t>
      </w:r>
      <w:r>
        <w:t xml:space="preserve">built for, the student stays within a few points of its teacher. What holds the student back</w:t>
      </w:r>
      <w:r>
        <w:t xml:space="preserve"> </w:t>
      </w:r>
      <w:r>
        <w:t xml:space="preserve">is which tissues and studies its training corpus happened to contain — widening the corpus</w:t>
      </w:r>
      <w:r>
        <w:t xml:space="preserve"> </w:t>
      </w:r>
      <w:r>
        <w:t xml:space="preserve">should move these numbers, changing the distillation procedure should not.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(keeping the 90.5% of</w:t>
      </w:r>
      <w:r>
        <w:t xml:space="preserve"> </w:t>
      </w:r>
      <w:r>
        <w:t xml:space="preserve">cells it calls with probability at least 0.5 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Holding out a whole HLiCA</w:t>
      </w:r>
      <w:r>
        <w:t xml:space="preserve"> </w:t>
      </w:r>
      <w:r>
        <w:t xml:space="preserve">study (56,545 cells, a different research center’s protocol), the broad census model scores</w:t>
      </w:r>
      <w:r>
        <w:t xml:space="preserve"> </w:t>
      </w:r>
      <w:r>
        <w:t xml:space="preserve">exact-match</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38-type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broad pass hands the query to the focused pass; the two do not combine.</w:t>
      </w:r>
      <w:r>
        <w:t xml:space="preserve"> </w:t>
      </w:r>
      <w:r>
        <w:t xml:space="preserve">The natural</w:t>
      </w:r>
      <w:r>
        <w:t xml:space="preserve"> </w:t>
      </w:r>
      <w:r>
        <w:t xml:space="preserve">assumption is that a better broad call should also make the focused call better. It does not.</w:t>
      </w:r>
      <w:r>
        <w:t xml:space="preserve"> </w:t>
      </w:r>
      <w:r>
        <w:t xml:space="preserve">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0.380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broad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catching cells</w:t>
      </w:r>
      <w:r>
        <w:t xml:space="preserve"> </w:t>
      </w:r>
      <w:r>
        <w:t xml:space="preserve">that fall outside every focused reference’s scope.</w:t>
      </w:r>
    </w:p>
    <w:p>
      <w:pPr>
        <w:pStyle w:val="BodyText"/>
      </w:pPr>
      <w:r>
        <w:rPr>
          <w:b/>
          <w:bCs/>
        </w:rPr>
        <w:t xml:space="preserve">A second organism, and a hierarchy that needs no GPU.</w:t>
      </w:r>
      <w:r>
        <w:t xml:space="preserve"> </w:t>
      </w:r>
      <w:r>
        <w:t xml:space="preserve">Neither of the two broad-pass build</w:t>
      </w:r>
      <w:r>
        <w:t xml:space="preserve"> </w:t>
      </w:r>
      <w:r>
        <w:t xml:space="preserve">routes transfers to mouse: Pan-human Azimuth is human-only, so there is no teacher to distill, and</w:t>
      </w:r>
      <w:r>
        <w:t xml:space="preserve"> </w:t>
      </w:r>
      <w:r>
        <w:t xml:space="preserve">the census route wants scPRINT on a GPU with mouse support we have not tested. But the census</w:t>
      </w:r>
      <w:r>
        <w:t xml:space="preserve"> </w:t>
      </w:r>
      <w:r>
        <w:t xml:space="preserve">already 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t>
      </w:r>
      <w:r>
        <w:t xml:space="preserve">(same Ward linkage, ontology indicator</w:t>
      </w:r>
      <w:r>
        <w:t xml:space="preserve"> </w:t>
      </w:r>
      <w:r>
        <w:t xml:space="preserve">vectors in place of embeddings) gives a hierarchy that is free, deterministic and</w:t>
      </w:r>
      <w:r>
        <w:t xml:space="preserve"> </w:t>
      </w:r>
      <w:r>
        <w:t xml:space="preserve">species-independent.</w:t>
      </w:r>
    </w:p>
    <w:p>
      <w:pPr>
        <w:pStyle w:val="BodyText"/>
      </w:pPr>
      <w:r>
        <w:t xml:space="preserve">That substitution needs a control, since any grouping might help. Built from one human corpus</w:t>
      </w:r>
      <w:r>
        <w:t xml:space="preserve"> </w:t>
      </w:r>
      <w:r>
        <w:t xml:space="preserve">(51,346 cells / 867 types) and scored on the held-out lung atlas</w:t>
      </w:r>
      <w:r>
        <w:t xml:space="preserve"> </w:t>
      </w:r>
      <w:r>
        <w:t xml:space="preserve">(per-run</w:t>
      </w:r>
      <w:r>
        <w:t xml:space="preserve"> </w:t>
      </w:r>
      <w:r>
        <w:t xml:space="preserve">numbers in the</w:t>
      </w:r>
      <w:r>
        <w:t xml:space="preserve"> </w:t>
      </w:r>
      <w:hyperlink r:id="rId33">
        <w:r>
          <w:rPr>
            <w:rStyle w:val="Hyperlink"/>
          </w:rPr>
          <w:t xml:space="preserve">benchmark repository</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coarse hierarchy</w:t>
            </w:r>
          </w:p>
        </w:tc>
        <w:tc>
          <w:tcPr/>
          <w:p>
            <w:pPr>
              <w:pStyle w:val="Compact"/>
              <w:jc w:val="right"/>
            </w:pPr>
            <w:r>
              <w:t xml:space="preserve">ontology</w:t>
            </w:r>
          </w:p>
        </w:tc>
      </w:tr>
      <w:tr>
        <w:tc>
          <w:tcPr/>
          <w:p>
            <w:pPr>
              <w:pStyle w:val="Compact"/>
            </w:pPr>
            <w:r>
              <w:rPr>
                <w:b/>
                <w:bCs/>
              </w:rPr>
              <w:t xml:space="preserve">Cell Ontology lineage</w:t>
            </w:r>
          </w:p>
        </w:tc>
        <w:tc>
          <w:tcPr/>
          <w:p>
            <w:pPr>
              <w:pStyle w:val="Compact"/>
              <w:jc w:val="right"/>
            </w:pPr>
            <w:r>
              <w:rPr>
                <w:b/>
                <w:bCs/>
              </w:rPr>
              <w:t xml:space="preserve">0.616</w:t>
            </w:r>
          </w:p>
        </w:tc>
      </w:tr>
      <w:tr>
        <w:tc>
          <w:tcPr/>
          <w:p>
            <w:pPr>
              <w:pStyle w:val="Compact"/>
            </w:pPr>
            <w:r>
              <w:t xml:space="preserve">flat, no hierarchy</w:t>
            </w:r>
          </w:p>
        </w:tc>
        <w:tc>
          <w:tcPr/>
          <w:p>
            <w:pPr>
              <w:pStyle w:val="Compact"/>
              <w:jc w:val="right"/>
            </w:pPr>
            <w:r>
              <w:t xml:space="preserve">0.547</w:t>
            </w:r>
          </w:p>
        </w:tc>
      </w:tr>
      <w:tr>
        <w:tc>
          <w:tcPr/>
          <w:p>
            <w:pPr>
              <w:pStyle w:val="Compact"/>
            </w:pPr>
            <w:r>
              <w:t xml:space="preserve">random grouping, same group sizes</w:t>
            </w:r>
          </w:p>
        </w:tc>
        <w:tc>
          <w:tcPr/>
          <w:p>
            <w:pPr>
              <w:pStyle w:val="Compact"/>
              <w:jc w:val="right"/>
            </w:pPr>
            <w:r>
              <w:t xml:space="preserve">0.539</w:t>
            </w:r>
          </w:p>
        </w:tc>
      </w:tr>
    </w:tbl>
    <w:p>
      <w:pPr>
        <w:pStyle w:val="BodyText"/>
      </w:pPr>
      <w:r>
        <w:rPr>
          <w:b/>
          <w:bCs/>
        </w:rPr>
        <w:t xml:space="preserve">Table 7.</w:t>
      </w:r>
      <w:r>
        <w:t xml:space="preserve"> </w:t>
      </w:r>
      <w:r>
        <w:t xml:space="preserve">Coarse-hierarchy ablation, ordered by accuracy. Ontology concordance on the</w:t>
      </w:r>
      <w:r>
        <w:t xml:space="preserve"> </w:t>
      </w:r>
      <w:r>
        <w:t xml:space="preserve">held-out lung atlas for a Cell Ontology lineage hierarchy, no hierarchy at all, and a random</w:t>
      </w:r>
      <w:r>
        <w:t xml:space="preserve"> </w:t>
      </w:r>
      <w:r>
        <w:t xml:space="preserve">grouping with the same group sizes as the ontology one.</w:t>
      </w:r>
    </w:p>
    <w:p>
      <w:pPr>
        <w:pStyle w:val="BodyText"/>
      </w:pPr>
      <w:r>
        <w:t xml:space="preserve">Random grouping scores no better than no grouping at all (0.539 against 0.547), which rules</w:t>
      </w:r>
      <w:r>
        <w:t xml:space="preserve"> </w:t>
      </w:r>
      <w:r>
        <w:t xml:space="preserve">out the simplest explanation for the gain: that splitting 867 types into 29 smaller problems</w:t>
      </w:r>
      <w:r>
        <w:t xml:space="preserve"> </w:t>
      </w:r>
      <w:r>
        <w:t xml:space="preserve">makes each fine classifier’s job easier, something any split would do. What matters is</w:t>
      </w:r>
      <w:r>
        <w:t xml:space="preserve"> </w:t>
      </w:r>
      <w:r>
        <w:rPr>
          <w:i/>
          <w:iCs/>
        </w:rPr>
        <w:t xml:space="preserve">which</w:t>
      </w:r>
      <w:r>
        <w:t xml:space="preserve"> </w:t>
      </w:r>
      <w:r>
        <w:t xml:space="preserve">types share a group. Each group has its own fine classifier and the coarse call decides which</w:t>
      </w:r>
      <w:r>
        <w:t xml:space="preserve"> </w:t>
      </w:r>
      <w:r>
        <w:t xml:space="preserve">one ever sees the cell, so a group pays off only if the coarse classifier can recognize it</w:t>
      </w:r>
      <w:r>
        <w:t xml:space="preserve"> </w:t>
      </w:r>
      <w:r>
        <w:rPr>
          <w:i/>
          <w:iCs/>
        </w:rPr>
        <w:t xml:space="preserve">and</w:t>
      </w:r>
      <w:r>
        <w:t xml:space="preserve"> </w:t>
      </w:r>
      <w:r>
        <w:t xml:space="preserve">the right answer is inside it. Lineage groups manage both; groups of the same sizes</w:t>
      </w:r>
      <w:r>
        <w:t xml:space="preserve"> </w:t>
      </w:r>
      <w:r>
        <w:t xml:space="preserve">drawn at random manage neither.</w:t>
      </w:r>
    </w:p>
    <w:p>
      <w:pPr>
        <w:pStyle w:val="BodyText"/>
      </w:pPr>
      <w:r>
        <w:t xml:space="preserve">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t xml:space="preserve">confidence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rPr>
          <w:b/>
          <w:bCs/>
        </w:rPr>
        <w:t xml:space="preserve">Table 8.</w:t>
      </w:r>
      <w:r>
        <w:t xml:space="preserve"> </w:t>
      </w:r>
      <w:r>
        <w:rPr>
          <w:rStyle w:val="VerbatimChar"/>
        </w:rPr>
        <w:t xml:space="preserve">broad_mouse_v1</w:t>
      </w:r>
      <w:r>
        <w:t xml:space="preserve"> </w:t>
      </w:r>
      <w:r>
        <w:t xml:space="preserve">on 12,646 held-out mouse cells (137 truth types, 41 tissues, none</w:t>
      </w:r>
      <w:r>
        <w:t xml:space="preserve"> </w:t>
      </w:r>
      <w:r>
        <w:t xml:space="preserve">of it in the reference), with and without abstain.</w:t>
      </w:r>
    </w:p>
    <w:p>
      <w:pPr>
        <w:pStyle w:val="BodyText"/>
      </w:pPr>
      <w:r>
        <w:t xml:space="preserve">Its abstain calibration is also better behaved than the human census model’s — 0.88 accuracy</w:t>
      </w:r>
      <w:r>
        <w:t xml:space="preserve"> </w:t>
      </w:r>
      <w:r>
        <w:t xml:space="preserve">at 82% coverage, against 0.80 at 46% — because mouse census carries fewer near-duplicate</w:t>
      </w:r>
      <w:r>
        <w:t xml:space="preserve"> </w:t>
      </w:r>
      <w:r>
        <w:t xml:space="preserve">subtypes than human’s ~800-way vocabulary. Read across organisms with care: these are</w:t>
      </w:r>
      <w:r>
        <w:t xml:space="preserve"> </w:t>
      </w:r>
      <w:r>
        <w:t xml:space="preserve">different queries, so the two sets of numbers fall in a similar range but are not a</w:t>
      </w:r>
      <w:r>
        <w:t xml:space="preserve"> </w:t>
      </w:r>
      <w:r>
        <w:t xml:space="preserve">head-to-head comparison. Two limits apply.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w:t>
      </w:r>
    </w:p>
    <w:p>
      <w:pPr>
        <w:pStyle w:val="BodyText"/>
      </w:pPr>
      <w:r>
        <w:rPr>
          <w:b/>
          <w:bCs/>
        </w:rPr>
        <w:t xml:space="preserve">Supporting mechanisms.</w:t>
      </w:r>
      <w:r>
        <w:t xml:space="preserve"> </w:t>
      </w:r>
      <w:r>
        <w:t xml:space="preserve">(i) A</w:t>
      </w:r>
      <w:r>
        <w:t xml:space="preserve"> </w:t>
      </w:r>
      <w:r>
        <w:rPr>
          <w:b/>
          <w:bCs/>
        </w:rPr>
        <w:t xml:space="preserve">foundation-model-guided coarse→fine hierarchy</w:t>
      </w:r>
      <w:r>
        <w:t xml:space="preserve">: a foundation model discovers</w:t>
      </w:r>
      <w:r>
        <w:t xml:space="preserve"> </w:t>
      </w:r>
      <w:r>
        <w:t xml:space="preserve">a coarse→fine structure</w:t>
      </w:r>
      <w:r>
        <w:t xml:space="preserve"> </w:t>
      </w:r>
      <w:r>
        <w:rPr>
          <w:i/>
          <w:iCs/>
        </w:rPr>
        <w:t xml:space="preserve">offline</w:t>
      </w:r>
      <w:r>
        <w:t xml:space="preserve">, the fast CPU model uses it at inference — beats a flat</w:t>
      </w:r>
      <w:r>
        <w:t xml:space="preserve"> </w:t>
      </w:r>
      <w:r>
        <w:t xml:space="preserve">classifier on 3/4 datasets, matches an expert hierarchy, beats a random-grouping control,</w:t>
      </w:r>
      <w:r>
        <w:t xml:space="preserve"> </w:t>
      </w:r>
      <w:r>
        <w:t xml:space="preserve">and never depends on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across held-out donors, and 0.88–0.92 transferring between datasets — a</w:t>
      </w:r>
      <w:r>
        <w:t xml:space="preserve"> </w:t>
      </w:r>
      <w:r>
        <w:t xml:space="preserve">third stage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59"/>
    <w:bookmarkStart w:id="60"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rPr>
          <w:b/>
          <w:bCs/>
        </w:rPr>
        <w:t xml:space="preserve">Table 9.</w:t>
      </w:r>
      <w:r>
        <w:t xml:space="preserve"> </w:t>
      </w:r>
      <w:r>
        <w:t xml:space="preserve">Confidence-threshold sweep with 9 of 36 cell types held out of the liver reference,</w:t>
      </w:r>
      <w:r>
        <w:t xml:space="preserve"> </w:t>
      </w:r>
      <w:r>
        <w:t xml:space="preserve">so 1,350 query cells are genuinely out-of-distribution. Each cell reads accuracy on kept cells /</w:t>
      </w:r>
      <w:r>
        <w:t xml:space="preserve"> </w:t>
      </w:r>
      <w:r>
        <w:t xml:space="preserve">fraction of cells kept / fraction of held-out-type cells flagged.</w:t>
      </w:r>
    </w:p>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§3.4.</w:t>
      </w:r>
    </w:p>
    <w:bookmarkEnd w:id="60"/>
    <w:bookmarkStart w:id="61"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 it</w:t>
      </w:r>
      <w:r>
        <w:t xml:space="preserve"> </w:t>
      </w:r>
      <w:r>
        <w:t xml:space="preserve">scored</w:t>
      </w:r>
      <w:r>
        <w:t xml:space="preserve"> </w:t>
      </w:r>
      <w:r>
        <w:rPr>
          <w:b/>
          <w:bCs/>
        </w:rPr>
        <w:t xml:space="preserve">exact-match accuracy 0.029 / ontology concordance 0.201, taking 62 s for 2,694 query</w:t>
      </w:r>
      <w:r>
        <w:rPr>
          <w:b/>
          <w:bCs/>
        </w:rPr>
        <w:t xml:space="preserve"> </w:t>
      </w:r>
      <w:r>
        <w:rPr>
          <w:b/>
          <w:bCs/>
        </w:rPr>
        <w:t xml:space="preserve">cells</w:t>
      </w:r>
      <w:r>
        <w:t xml:space="preserve"> </w:t>
      </w:r>
      <w:r>
        <w:t xml:space="preserve">— against actinn-jax’s 0.894 in 0.23 s — so as a</w:t>
      </w:r>
      <w:r>
        <w:t xml:space="preserve"> </w:t>
      </w:r>
      <w:r>
        <w:rPr>
          <w:i/>
          <w:iCs/>
        </w:rPr>
        <w:t xml:space="preserve">label</w:t>
      </w:r>
      <w:r>
        <w:t xml:space="preserve"> </w:t>
      </w:r>
      <w:r>
        <w:t xml:space="preserve">predictor it is both slow</w:t>
      </w:r>
      <w:r>
        <w:t xml:space="preserve"> </w:t>
      </w:r>
      <w:r>
        <w:t xml:space="preserve">(</w:t>
      </w:r>
      <w:r>
        <w:rPr>
          <w:b/>
          <w:bCs/>
        </w:rPr>
        <w:t xml:space="preserve">~280×</w:t>
      </w:r>
      <w:r>
        <w:t xml:space="preserve"> </w:t>
      </w:r>
      <w:r>
        <w:t xml:space="preserve">actinn-jax) and weak. It is reported on lung alone because its fixed vocabulary</w:t>
      </w:r>
      <w:r>
        <w:t xml:space="preserve"> </w:t>
      </w:r>
      <w:r>
        <w:t xml:space="preserve">cannot score the other datasets: the liver and blood+gut sets contain Cell Ontology terms</w:t>
      </w:r>
      <w:r>
        <w:t xml:space="preserve"> </w:t>
      </w:r>
      <w:r>
        <w:t xml:space="preserve">absent from its label set, and it declines them rather than guessing. Its pretrained classifier head also carries a</w:t>
      </w:r>
      <w:r>
        <w:t xml:space="preserve"> </w:t>
      </w:r>
      <w:r>
        <w:rPr>
          <w:b/>
          <w:bCs/>
        </w:rPr>
        <w:t xml:space="preserve">fixed label vocabulary</w:t>
      </w:r>
      <w:r>
        <w:t xml:space="preserve"> </w:t>
      </w:r>
      <w:r>
        <w:t xml:space="preserve">and</w:t>
      </w:r>
      <w:r>
        <w:t xml:space="preserve"> </w:t>
      </w:r>
      <w:r>
        <w:t xml:space="preserve">requires CL ids, so it cannot emit labels outside that set; this is an inherent property of</w:t>
      </w:r>
      <w:r>
        <w:t xml:space="preserve"> </w:t>
      </w:r>
      <w:r>
        <w:t xml:space="preserve">a zero-shot label head, not a defect, but it means the foundation model’s raw predictions</w:t>
      </w:r>
      <w:r>
        <w:t xml:space="preserve"> </w:t>
      </w:r>
      <w:r>
        <w:t xml:space="preserve">are not a drop-in annotator. This is exactly why our two-stage workflow</w:t>
      </w:r>
      <w:r>
        <w:t xml:space="preserve"> </w:t>
      </w:r>
      <w:r>
        <w:t xml:space="preserve">uses scPRINT’s</w:t>
      </w:r>
      <w:r>
        <w:t xml:space="preserve"> </w:t>
      </w:r>
      <w:r>
        <w:rPr>
          <w:b/>
          <w:bCs/>
        </w:rPr>
        <w:t xml:space="preserve">embeddings</w:t>
      </w:r>
      <w:r>
        <w:t xml:space="preserve"> </w:t>
      </w:r>
      <w:r>
        <w:t xml:space="preserve">— its learned structure — to</w:t>
      </w:r>
      <w:r>
        <w:t xml:space="preserve"> </w:t>
      </w:r>
      <w:r>
        <w:t xml:space="preserve">shape a small trained model, never its zero-shot labels: the foundation model is valuable,</w:t>
      </w:r>
      <w:r>
        <w:t xml:space="preserve"> </w:t>
      </w:r>
      <w:r>
        <w:t xml:space="preserve">its raw label predictions are not.</w:t>
      </w:r>
    </w:p>
    <w:bookmarkEnd w:id="61"/>
    <w:bookmarkStart w:id="70"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62">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w:t>
      </w:r>
      <w:r>
        <w:t xml:space="preserve"> </w:t>
      </w:r>
      <w:hyperlink r:id="rId63">
        <w:r>
          <w:rPr>
            <w:rStyle w:val="Hyperlink"/>
          </w:rPr>
          <w:t xml:space="preserve">[Chen &amp; Guestrin 2016]</w:t>
        </w:r>
      </w:hyperlink>
      <w:r>
        <w:t xml:space="preserve"> </w:t>
      </w:r>
      <w:r>
        <w:t xml:space="preserve">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t xml:space="preserve">Means over the six datasets, every method through the same pipeline on one instance: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mean acc</w:t>
            </w:r>
          </w:p>
        </w:tc>
        <w:tc>
          <w:tcPr/>
          <w:p>
            <w:pPr>
              <w:pStyle w:val="Compact"/>
              <w:jc w:val="right"/>
            </w:pPr>
            <w:r>
              <w:t xml:space="preserve">macro-F1</w:t>
            </w:r>
          </w:p>
        </w:tc>
        <w:tc>
          <w:tcPr/>
          <w:p>
            <w:pPr>
              <w:pStyle w:val="Compact"/>
              <w:jc w:val="right"/>
            </w:pPr>
            <w:r>
              <w:t xml:space="preserve">cost</w:t>
            </w:r>
          </w:p>
        </w:tc>
        <w:tc>
          <w:tcPr/>
          <w:p>
            <w:pPr>
              <w:pStyle w:val="Compact"/>
              <w:jc w:val="right"/>
            </w:pPr>
            <w:r>
              <w:t xml:space="preserve">peak mem</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c>
          <w:tcPr/>
          <w:p>
            <w:pPr>
              <w:pStyle w:val="Compact"/>
              <w:jc w:val="right"/>
            </w:pPr>
            <w:r>
              <w:t xml:space="preserve">1.98×</w:t>
            </w:r>
          </w:p>
        </w:tc>
        <w:tc>
          <w:tcPr/>
          <w:p>
            <w:pPr>
              <w:pStyle w:val="Compact"/>
              <w:jc w:val="right"/>
            </w:pPr>
            <w:r>
              <w:t xml:space="preserve">19.9 GB</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c>
          <w:tcPr/>
          <w:p>
            <w:pPr>
              <w:pStyle w:val="Compact"/>
              <w:jc w:val="right"/>
            </w:pPr>
            <w:r>
              <w:t xml:space="preserve">1.00×</w:t>
            </w:r>
          </w:p>
        </w:tc>
        <w:tc>
          <w:tcPr/>
          <w:p>
            <w:pPr>
              <w:pStyle w:val="Compact"/>
              <w:jc w:val="right"/>
            </w:pPr>
            <w:r>
              <w:t xml:space="preserve">21.0 GB</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c>
          <w:tcPr/>
          <w:p>
            <w:pPr>
              <w:pStyle w:val="Compact"/>
              <w:jc w:val="right"/>
            </w:pPr>
            <w:r>
              <w:t xml:space="preserve">2.67×</w:t>
            </w:r>
          </w:p>
        </w:tc>
        <w:tc>
          <w:tcPr/>
          <w:p>
            <w:pPr>
              <w:pStyle w:val="Compact"/>
              <w:jc w:val="right"/>
            </w:pPr>
            <w:r>
              <w:t xml:space="preserve">20.1 GB</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c>
          <w:tcPr/>
          <w:p>
            <w:pPr>
              <w:pStyle w:val="Compact"/>
              <w:jc w:val="right"/>
            </w:pPr>
            <w:r>
              <w:t xml:space="preserve">6.07×</w:t>
            </w:r>
          </w:p>
        </w:tc>
        <w:tc>
          <w:tcPr/>
          <w:p>
            <w:pPr>
              <w:pStyle w:val="Compact"/>
              <w:jc w:val="right"/>
            </w:pPr>
            <w:r>
              <w:t xml:space="preserve">20.1 GB</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c>
          <w:tcPr/>
          <w:p>
            <w:pPr>
              <w:pStyle w:val="Compact"/>
              <w:jc w:val="right"/>
            </w:pPr>
            <w:r>
              <w:rPr>
                <w:b/>
                <w:bCs/>
              </w:rPr>
              <w:t xml:space="preserve">0.18×</w:t>
            </w:r>
          </w:p>
        </w:tc>
        <w:tc>
          <w:tcPr/>
          <w:p>
            <w:pPr>
              <w:pStyle w:val="Compact"/>
              <w:jc w:val="right"/>
            </w:pPr>
            <w:r>
              <w:t xml:space="preserve">20.0 GB</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c>
          <w:tcPr/>
          <w:p>
            <w:pPr>
              <w:pStyle w:val="Compact"/>
              <w:jc w:val="right"/>
            </w:pPr>
            <w:r>
              <w:t xml:space="preserve">7.62×</w:t>
            </w:r>
          </w:p>
        </w:tc>
        <w:tc>
          <w:tcPr/>
          <w:p>
            <w:pPr>
              <w:pStyle w:val="Compact"/>
              <w:jc w:val="right"/>
            </w:pPr>
            <w:r>
              <w:t xml:space="preserve">20.1 GB</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c>
          <w:tcPr/>
          <w:p>
            <w:pPr>
              <w:pStyle w:val="Compact"/>
              <w:jc w:val="right"/>
            </w:pPr>
            <w:r>
              <w:rPr>
                <w:b/>
                <w:bCs/>
              </w:rPr>
              <w:t xml:space="preserve">0.07×</w:t>
            </w:r>
          </w:p>
        </w:tc>
        <w:tc>
          <w:tcPr/>
          <w:p>
            <w:pPr>
              <w:pStyle w:val="Compact"/>
              <w:jc w:val="right"/>
            </w:pPr>
            <w:r>
              <w:t xml:space="preserve">19.5 GB</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c>
          <w:tcPr/>
          <w:p>
            <w:pPr>
              <w:pStyle w:val="Compact"/>
              <w:jc w:val="right"/>
            </w:pPr>
            <w:r>
              <w:t xml:space="preserve">5.48×</w:t>
            </w:r>
          </w:p>
        </w:tc>
        <w:tc>
          <w:tcPr/>
          <w:p>
            <w:pPr>
              <w:pStyle w:val="Compact"/>
              <w:jc w:val="right"/>
            </w:pPr>
            <w:r>
              <w:t xml:space="preserve">80.7 GB</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c>
          <w:tcPr/>
          <w:p>
            <w:pPr>
              <w:pStyle w:val="Compact"/>
              <w:jc w:val="right"/>
            </w:pPr>
            <w:r>
              <w:t xml:space="preserve">0.35×</w:t>
            </w:r>
          </w:p>
        </w:tc>
        <w:tc>
          <w:tcPr/>
          <w:p>
            <w:pPr>
              <w:pStyle w:val="Compact"/>
              <w:jc w:val="right"/>
            </w:pPr>
            <w:r>
              <w:t xml:space="preserve">31.5 GB</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c>
          <w:tcPr/>
          <w:p>
            <w:pPr>
              <w:pStyle w:val="Compact"/>
              <w:jc w:val="right"/>
            </w:pPr>
            <w:r>
              <w:t xml:space="preserve">0.19×</w:t>
            </w:r>
          </w:p>
        </w:tc>
        <w:tc>
          <w:tcPr/>
          <w:p>
            <w:pPr>
              <w:pStyle w:val="Compact"/>
              <w:jc w:val="right"/>
            </w:pPr>
            <w:r>
              <w:t xml:space="preserve">19.5 GB</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rPr>
                <w:b/>
                <w:bCs/>
              </w:rPr>
              <w:t xml:space="preserve">0.16×</w:t>
            </w:r>
          </w:p>
        </w:tc>
        <w:tc>
          <w:tcPr/>
          <w:p>
            <w:pPr>
              <w:pStyle w:val="Compact"/>
              <w:jc w:val="right"/>
            </w:pPr>
            <w:r>
              <w:t xml:space="preserve">20.4 GB</w:t>
            </w:r>
          </w:p>
        </w:tc>
      </w:tr>
    </w:tbl>
    <w:p>
      <w:pPr>
        <w:pStyle w:val="BodyText"/>
      </w:pPr>
      <w:r>
        <w:rPr>
          <w:b/>
          <w:bCs/>
        </w:rPr>
        <w:t xml:space="preserve">Table 10.</w:t>
      </w:r>
      <w:r>
        <w:t xml:space="preserve"> </w:t>
      </w:r>
      <w:r>
        <w:t xml:space="preserve">All eleven methods on the six Open Problems datasets, ordered by accuracy. Bold</w:t>
      </w:r>
      <w:r>
        <w:t xml:space="preserve"> </w:t>
      </w:r>
      <w:r>
        <w:t xml:space="preserve">marks the five components we contributed.</w:t>
      </w:r>
      <w:r>
        <w:t xml:space="preserve"> </w:t>
      </w:r>
      <w:r>
        <w:rPr>
          <w:i/>
          <w:iCs/>
        </w:rPr>
        <w:t xml:space="preserve">cost</w:t>
      </w:r>
      <w:r>
        <w:t xml:space="preserve"> </w:t>
      </w:r>
      <w:r>
        <w:t xml:space="preserve">is per-dataset wall-clock relative to</w:t>
      </w:r>
      <w:r>
        <w:t xml:space="preserve"> </w:t>
      </w:r>
      <w:r>
        <w:t xml:space="preserve">actinn-jax (§2.10), for which 1.00× is roughly two minutes.</w:t>
      </w:r>
    </w:p>
    <w:p>
      <w:pPr>
        <w:pStyle w:val="BodyText"/>
      </w:pPr>
      <w:r>
        <w:t xml:space="preserve">actinn-jax</w:t>
      </w:r>
      <w:r>
        <w:t xml:space="preserve"> </w:t>
      </w:r>
      <w:r>
        <w:rPr>
          <w:b/>
          <w:bCs/>
        </w:rPr>
        <w:t xml:space="preserve">matches its</w:t>
      </w:r>
      <w:r>
        <w:rPr>
          <w:b/>
          <w:bCs/>
        </w:rPr>
        <w:t xml:space="preserve"> </w:t>
      </w:r>
      <w:r>
        <w:rPr>
          <w:rStyle w:val="VerbatimChar"/>
          <w:b/>
          <w:bCs/>
        </w:rPr>
        <w:t xml:space="preserve">mlp</w:t>
      </w:r>
      <w:r>
        <w:rPr>
          <w:b/>
          <w:bCs/>
        </w:rPr>
        <w:t xml:space="preserve"> </w:t>
      </w:r>
      <w:r>
        <w:rPr>
          <w:b/>
          <w:bCs/>
        </w:rPr>
        <w:t xml:space="preserve">sibling on accuracy at half the cost</w:t>
      </w:r>
      <w:r>
        <w:t xml:space="preserve">, and</w:t>
      </w:r>
      <w:r>
        <w:t xml:space="preserve"> </w:t>
      </w:r>
      <w:r>
        <w:rPr>
          <w:b/>
          <w:bCs/>
        </w:rPr>
        <w:t xml:space="preserve">beats xgboost on</w:t>
      </w:r>
      <w:r>
        <w:rPr>
          <w:b/>
          <w:bCs/>
        </w:rPr>
        <w:t xml:space="preserve"> </w:t>
      </w:r>
      <w:r>
        <w:rPr>
          <w:b/>
          <w:bCs/>
        </w:rPr>
        <w:t xml:space="preserve">accuracy at 5.5× less runtime and 4× less memory</w:t>
      </w:r>
      <w:r>
        <w:t xml:space="preserve"> </w:t>
      </w:r>
      <w:r>
        <w:t xml:space="preserve">(21 vs 81 GB). Everything cheaper — knn,</w:t>
      </w:r>
      <w:r>
        <w:t xml:space="preserve"> </w:t>
      </w:r>
      <w:r>
        <w:t xml:space="preserve">logistic_regression, naive_bayes, scTOP — is less accurate, and the one heavyweight is slower</w:t>
      </w:r>
      <w:r>
        <w:t xml:space="preserve"> </w:t>
      </w:r>
      <w:r>
        <w:t xml:space="preserve">and heavier. Nothing here beats it on accuracy and cost together.</w:t>
      </w:r>
    </w:p>
    <w:p>
      <w:pPr>
        <w:pStyle w:val="BodyText"/>
      </w:pPr>
      <w:r>
        <w:rPr>
          <w:b/>
          <w:bCs/>
        </w:rPr>
        <w:t xml:space="preserve">The tuned linear pipeline loses its §3.1 advantage on both axes.</w:t>
      </w:r>
      <w:r>
        <w:t xml:space="preserve"> </w:t>
      </w:r>
      <w:r>
        <w:t xml:space="preserve">It places third on</w:t>
      </w:r>
      <w:r>
        <w:t xml:space="preserve"> </w:t>
      </w:r>
      <w:r>
        <w:t xml:space="preserve">accuracy (0.828, behind</w:t>
      </w:r>
      <w:r>
        <w:t xml:space="preserve"> </w:t>
      </w:r>
      <w:r>
        <w:rPr>
          <w:rStyle w:val="VerbatimChar"/>
        </w:rPr>
        <w:t xml:space="preserve">mlp</w:t>
      </w:r>
      <w:r>
        <w:t xml:space="preserve"> </w:t>
      </w:r>
      <w:r>
        <w:t xml:space="preserve">and actinn-jax), and where it fits 7×</w:t>
      </w:r>
      <w:r>
        <w:t xml:space="preserve"> </w:t>
      </w:r>
      <w:r>
        <w:rPr>
          <w:i/>
          <w:iCs/>
        </w:rPr>
        <w:t xml:space="preserve">faster</w:t>
      </w:r>
      <w:r>
        <w:t xml:space="preserve"> </w:t>
      </w:r>
      <w:r>
        <w:t xml:space="preserve">than actinn-jax</w:t>
      </w:r>
      <w:r>
        <w:t xml:space="preserve"> </w:t>
      </w:r>
      <w:r>
        <w:t xml:space="preserve">on the in-house panel it costs</w:t>
      </w:r>
      <w:r>
        <w:t xml:space="preserve"> </w:t>
      </w:r>
      <w:r>
        <w:rPr>
          <w:b/>
          <w:bCs/>
        </w:rPr>
        <w:t xml:space="preserve">2.7× more</w:t>
      </w:r>
      <w:r>
        <w:t xml:space="preserve"> </w:t>
      </w:r>
      <w:r>
        <w:t xml:space="preserve">here. The input budget explains the reversal: OP</w:t>
      </w:r>
      <w:r>
        <w:t xml:space="preserve"> </w:t>
      </w:r>
      <w:r>
        <w:t xml:space="preserve">hands every method 1,000 HVGs, and an ANOVA→PCA→logistic pipeline pays for the decomposition</w:t>
      </w:r>
      <w:r>
        <w:t xml:space="preserve"> </w:t>
      </w:r>
      <w:r>
        <w:t xml:space="preserve">on every query while a gene-space MLP amortizes it into one fit. CellTypist (7.6×) and the</w:t>
      </w:r>
      <w:r>
        <w:t xml:space="preserve"> </w:t>
      </w:r>
      <w:r>
        <w:t xml:space="preserve">SGD-SVM (6.1×) shift the same way. Neither a cost ranking nor an accuracy ranking survives a</w:t>
      </w:r>
      <w:r>
        <w:t xml:space="preserve"> </w:t>
      </w:r>
      <w:r>
        <w:t xml:space="preserve">change of feature budget — which is why we report both panels rather than picking</w:t>
      </w:r>
      <w:r>
        <w:t xml:space="preserve"> </w:t>
      </w:r>
      <w:r>
        <w:t xml:space="preserve">one.</w:t>
      </w:r>
    </w:p>
    <w:p>
      <w:pPr>
        <w:pStyle w:val="BodyText"/>
      </w:pPr>
      <w:r>
        <w:rPr>
          <w:rStyle w:val="VerbatimChar"/>
        </w:rPr>
        <w:t xml:space="preserve">logistic_regression</w:t>
      </w:r>
      <w:r>
        <w:t xml:space="preserve"> </w:t>
      </w:r>
      <w:r>
        <w:t xml:space="preserve">takes macro-F1 (0.689) from fifth on</w:t>
      </w:r>
      <w:r>
        <w:t xml:space="preserve"> </w:t>
      </w:r>
      <w:r>
        <w:t xml:space="preserve">accuracy, at the second-lowest cost. Across datasets spanning 13 to 160 cell types, accuracy</w:t>
      </w:r>
      <w:r>
        <w:t xml:space="preserve"> </w:t>
      </w:r>
      <w:r>
        <w:t xml:space="preserve">and macro-F1 do not order the panel the same way.</w:t>
      </w:r>
    </w:p>
    <w:p>
      <w:pPr>
        <w:pStyle w:val="BodyText"/>
      </w:pPr>
      <w:r>
        <w:rPr>
          <w:b/>
          <w:bCs/>
        </w:rPr>
        <w:t xml:space="preserve">scTOP collapses on two of the six and is weak on a third.</w:t>
      </w:r>
      <w:r>
        <w:t xml:space="preserve"> </w:t>
      </w:r>
      <w:r>
        <w:t xml:space="preserve">Its mean (0.581) is not a</w:t>
      </w:r>
      <w:r>
        <w:t xml:space="preserve"> </w:t>
      </w:r>
      <w:r>
        <w:t xml:space="preserve">uniformly weak result but 0.042 on tabula_sapiens, 0.124 on gtex_v9 and 0.495 on</w:t>
      </w:r>
      <w:r>
        <w:t xml:space="preserve"> </w:t>
      </w:r>
      <w:r>
        <w:t xml:space="preserve">immune_cell_atlas against 0.90–0.99 on the other three. Open Problems hands every method 1,000</w:t>
      </w:r>
      <w:r>
        <w:t xml:space="preserve"> </w:t>
      </w:r>
      <w:r>
        <w:t xml:space="preserve">HVGs, and scTOP’s rank projection needs genes expressed in an appreciable fraction of cells;</w:t>
      </w:r>
      <w:r>
        <w:t xml:space="preserve"> </w:t>
      </w:r>
      <w:r>
        <w:t xml:space="preserve">after its expression filter only</w:t>
      </w:r>
      <w:r>
        <w:t xml:space="preserve"> </w:t>
      </w:r>
      <w:r>
        <w:rPr>
          <w:b/>
          <w:bCs/>
        </w:rPr>
        <w:t xml:space="preserve">106 of 1,000</w:t>
      </w:r>
      <w:r>
        <w:t xml:space="preserve"> </w:t>
      </w:r>
      <w:r>
        <w:t xml:space="preserve">genes survive on gtex_v9 and 210 on</w:t>
      </w:r>
      <w:r>
        <w:t xml:space="preserve"> </w:t>
      </w:r>
      <w:r>
        <w:t xml:space="preserve">tabula_sapiens, against 306–405 where it works. At that point some test cells retain no</w:t>
      </w:r>
      <w:r>
        <w:t xml:space="preserve"> </w:t>
      </w:r>
      <w:r>
        <w:t xml:space="preserve">counts at all — 185 of 11,508 on gtex_v9 — and cannot be placed; they are scored as wrong</w:t>
      </w:r>
      <w:r>
        <w:t xml:space="preserve"> </w:t>
      </w:r>
      <w:r>
        <w:t xml:space="preserve">rather than dropped, so 0.124 is a floor. This is the same limitation §3.1 reports from the</w:t>
      </w:r>
      <w:r>
        <w:t xml:space="preserve"> </w:t>
      </w:r>
      <w:r>
        <w:t xml:space="preserve">other direction: scTOP is built for small, low-cardinality problems, and a fixed 1,000-HVG</w:t>
      </w:r>
      <w:r>
        <w:t xml:space="preserve"> </w:t>
      </w:r>
      <w:r>
        <w:t xml:space="preserve">budget over 53 and 160 types is neither.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off by default</w:t>
      </w:r>
      <w:r>
        <w:t xml:space="preserve"> </w:t>
      </w:r>
      <w:r>
        <w:t xml:space="preserve">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most starves a gene-space MLP.</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(Figure 4). The budget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(Figure 5)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BodyText"/>
      </w:pPr>
      <w:r>
        <w:drawing>
          <wp:inline>
            <wp:extent cx="5334000" cy="2139510"/>
            <wp:effectExtent b="0" l="0" r="0" t="0"/>
            <wp:docPr descr="gene budget curve" title="" id="65" name="Picture"/>
            <a:graphic>
              <a:graphicData uri="http://schemas.openxmlformats.org/drawingml/2006/picture">
                <pic:pic>
                  <pic:nvPicPr>
                    <pic:cNvPr descr="/Users/iandriver/Downloads/actinn-jax-benchmark/docs/figures/gene_budget_curve.png" id="66" name="Picture"/>
                    <pic:cNvPicPr>
                      <a:picLocks noChangeArrowheads="1" noChangeAspect="1"/>
                    </pic:cNvPicPr>
                  </pic:nvPicPr>
                  <pic:blipFill>
                    <a:blip r:embed="rId64"/>
                    <a:stretch>
                      <a:fillRect/>
                    </a:stretch>
                  </pic:blipFill>
                  <pic:spPr bwMode="auto">
                    <a:xfrm>
                      <a:off x="0" y="0"/>
                      <a:ext cx="5334000" cy="2139510"/>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actinn-jax accuracy and macro-F1 against input gene budget across all six Open</w:t>
      </w:r>
      <w:r>
        <w:t xml:space="preserve"> </w:t>
      </w:r>
      <w:r>
        <w:t xml:space="preserve">Problems datasets. More genes help most datasets but regress the fine-grained,</w:t>
      </w:r>
      <w:r>
        <w:t xml:space="preserve"> </w:t>
      </w:r>
      <w:r>
        <w:t xml:space="preserve">domain-shifted tabula_sapiens.</w:t>
      </w:r>
    </w:p>
    <w:p>
      <w:pPr>
        <w:pStyle w:val="BodyText"/>
      </w:pPr>
      <w:r>
        <w:drawing>
          <wp:inline>
            <wp:extent cx="5334000" cy="2293972"/>
            <wp:effectExtent b="0" l="0" r="0" t="0"/>
            <wp:docPr descr="gene budget signals" title="" id="68" name="Picture"/>
            <a:graphic>
              <a:graphicData uri="http://schemas.openxmlformats.org/drawingml/2006/picture">
                <pic:pic>
                  <pic:nvPicPr>
                    <pic:cNvPr descr="/Users/iandriver/Downloads/actinn-jax-benchmark/docs/figures/gene_budget_signals.png" id="69" name="Picture"/>
                    <pic:cNvPicPr>
                      <a:picLocks noChangeArrowheads="1" noChangeAspect="1"/>
                    </pic:cNvPicPr>
                  </pic:nvPicPr>
                  <pic:blipFill>
                    <a:blip r:embed="rId67"/>
                    <a:stretch>
                      <a:fillRect/>
                    </a:stretch>
                  </pic:blipFill>
                  <pic:spPr bwMode="auto">
                    <a:xfrm>
                      <a:off x="0" y="0"/>
                      <a:ext cx="5334000" cy="2293972"/>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Label-free signals for setting the gene budget without test labels. Held-out</w:t>
      </w:r>
      <w:r>
        <w:t xml:space="preserve"> </w:t>
      </w:r>
      <w:r>
        <w:t xml:space="preserve">reference cross-validation and query-cells-per-class both single out tabula_sapiens, the one</w:t>
      </w:r>
      <w:r>
        <w:t xml:space="preserve"> </w:t>
      </w:r>
      <w:r>
        <w:t xml:space="preserve">dataset where more genes hurt.</w:t>
      </w:r>
    </w:p>
    <w:bookmarkEnd w:id="70"/>
    <w:bookmarkEnd w:id="71"/>
    <w:bookmarkStart w:id="73"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four leading methods are</w:t>
      </w:r>
      <w:r>
        <w:t xml:space="preserve"> </w:t>
      </w:r>
      <w:r>
        <w:t xml:space="preserve">separated by 0.008 in mean accuracy and by ~260× in predict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3.0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(§3.3) — so a query costs the same against a 1k-cell reference and a 49k-cell</w:t>
      </w:r>
      <w:r>
        <w:t xml:space="preserve"> </w:t>
      </w:r>
      <w:r>
        <w:t xml:space="preserve">one. Peak memory is unremarkable on small references (2.4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broad→focused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stage.</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Much of what looked like a deficit of the</w:t>
      </w:r>
      <w:r>
        <w:t xml:space="preserve"> </w:t>
      </w:r>
      <w:r>
        <w:rPr>
          <w:i/>
          <w:iCs/>
        </w:rPr>
        <w:t xml:space="preserve">model</w:t>
      </w:r>
      <w:r>
        <w:t xml:space="preserve"> </w:t>
      </w:r>
      <w:r>
        <w:t xml:space="preserve">on Open Problems</w:t>
      </w:r>
      <w:r>
        <w:t xml:space="preserve"> </w:t>
      </w:r>
      <w:r>
        <w:t xml:space="preserve">was a deficit of its</w:t>
      </w:r>
      <w:r>
        <w:t xml:space="preserve"> </w:t>
      </w:r>
      <w:r>
        <w:rPr>
          <w:b/>
          <w:bCs/>
        </w:rPr>
        <w:t xml:space="preserve">input</w:t>
      </w:r>
      <w:r>
        <w:t xml:space="preserve">. The benchmark hands every method 1,000 highly variable genes,</w:t>
      </w:r>
      <w:r>
        <w:t xml:space="preserve"> </w:t>
      </w:r>
      <w:r>
        <w:t xml:space="preserve">a far harsher constraint on a model reading gene space directly than on one that learns a</w:t>
      </w:r>
      <w:r>
        <w:t xml:space="preserve"> </w:t>
      </w:r>
      <w:r>
        <w:t xml:space="preserve">compressed representation first, and at a fair gene budget the gene-space MLP</w:t>
      </w:r>
      <w:r>
        <w:t xml:space="preserve"> </w:t>
      </w:r>
      <w:r>
        <w:rPr>
          <w:i/>
          <w:iCs/>
        </w:rPr>
        <w:t xml:space="preserve">matches the</w:t>
      </w:r>
      <w:r>
        <w:rPr>
          <w:i/>
          <w:iCs/>
        </w:rPr>
        <w:t xml:space="preserve"> </w:t>
      </w:r>
      <w:r>
        <w:rPr>
          <w:i/>
          <w:iCs/>
        </w:rPr>
        <w:t xml:space="preserve">leaderboard’s top method</w:t>
      </w:r>
      <w:r>
        <w:t xml:space="preserve"> </w:t>
      </w:r>
      <w:r>
        <w:t xml:space="preserve">on the datasets both complete. Widen the gene panel and most of the</w:t>
      </w:r>
      <w:r>
        <w:t xml:space="preserve"> </w:t>
      </w:r>
      <w:r>
        <w:t xml:space="preserve">gap closes, so the quantity being measured was partly</w:t>
      </w:r>
      <w:r>
        <w:t xml:space="preserve"> </w:t>
      </w:r>
      <w:r>
        <w:t xml:space="preserve">“how well does each method tolerate a</w:t>
      </w:r>
      <w:r>
        <w:t xml:space="preserve"> </w:t>
      </w:r>
      <w:r>
        <w:t xml:space="preserve">narrow input”</w:t>
      </w:r>
      <w:r>
        <w:t xml:space="preserve">, not</w:t>
      </w:r>
      <w:r>
        <w:t xml:space="preserve"> </w:t>
      </w:r>
      <w:r>
        <w:t xml:space="preserve">“which model class is stronger”</w:t>
      </w:r>
      <w:r>
        <w:t xml:space="preserve">.</w:t>
      </w:r>
    </w:p>
    <w:p>
      <w:pPr>
        <w:pStyle w:val="BodyText"/>
      </w:pPr>
      <w:r>
        <w:t xml:space="preserve">The genuine weaknesses are narrower. actinn-jax trails on small references and</w:t>
      </w:r>
      <w:r>
        <w:t xml:space="preserve"> </w:t>
      </w:r>
      <w:r>
        <w:t xml:space="preserve">very-few-cells-per-type sets (§3.1, §5), and it is sensitive to input budget under domain</w:t>
      </w:r>
      <w:r>
        <w:t xml:space="preserve"> </w:t>
      </w:r>
      <w:r>
        <w:t xml:space="preserve">shift: more genes help most datasets but overfit a tiny, fine-grained, shifted query</w:t>
      </w:r>
      <w:r>
        <w:t xml:space="preserve"> </w:t>
      </w:r>
      <w:r>
        <w:t xml:space="preserve">(tabula_sapiens). The two cheapest levers are principled and label-free —</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 cross-validation on the</w:t>
      </w:r>
      <w:r>
        <w:rPr>
          <w:b/>
          <w:bCs/>
        </w:rPr>
        <w:t xml:space="preserve"> </w:t>
      </w:r>
      <w:r>
        <w:rPr>
          <w:b/>
          <w:bCs/>
        </w:rPr>
        <w:t xml:space="preserve">reference alone</w:t>
      </w:r>
      <w:r>
        <w:t xml:space="preserve"> </w:t>
      </w:r>
      <w:r>
        <w:t xml:space="preserve">— and neither peeks at test labels.</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Their</w:t>
      </w:r>
      <w:r>
        <w:t xml:space="preserve"> </w:t>
      </w:r>
      <w:r>
        <w:t xml:space="preserve">7M-parameter supervised hierarchical MLP over a 5,055-gene panel yields cleaner annotations</w:t>
      </w:r>
      <w:r>
        <w:t xml:space="preserve"> </w:t>
      </w:r>
      <w:r>
        <w:t xml:space="preserve">than scGPT and SCimilarity; they report those models’ labels as fragmented and</w:t>
      </w:r>
      <w:r>
        <w:t xml:space="preserve"> </w:t>
      </w:r>
      <w:r>
        <w:t xml:space="preserve">mis-transferred. Their</w:t>
      </w:r>
      <w:r>
        <w:t xml:space="preserve"> </w:t>
      </w:r>
      <w:r>
        <w:t xml:space="preserve">stated theme — that training-data quality and organization matter as much as architecture or</w:t>
      </w:r>
      <w:r>
        <w:t xml:space="preserve"> </w:t>
      </w:r>
      <w:r>
        <w:t xml:space="preserve">scale — and their finding that accuracy</w:t>
      </w:r>
      <w:r>
        <w:t xml:space="preserve"> </w:t>
      </w:r>
      <w:r>
        <w:rPr>
          <w:b/>
          <w:bCs/>
        </w:rPr>
        <w:t xml:space="preserve">saturates past ~5M training cells</w:t>
      </w:r>
      <w:r>
        <w:t xml:space="preserve"> </w:t>
      </w:r>
      <w:r>
        <w:t xml:space="preserve">are independent support, from a group with</w:t>
      </w:r>
      <w:r>
        <w:t xml:space="preserve"> </w:t>
      </w:r>
      <w:r>
        <w:t xml:space="preserve">no stake in our conclusion, for our two claims: that training-data quality and organization</w:t>
      </w:r>
      <w:r>
        <w:t xml:space="preserve"> </w:t>
      </w:r>
      <w:r>
        <w:t xml:space="preserve">matter as much as model architecture, and that zero-shot foundation-model labels are the</w:t>
      </w:r>
      <w:r>
        <w:t xml:space="preserve"> </w:t>
      </w:r>
      <w:r>
        <w:t xml:space="preserve">weaker option.</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§5), at ~8× actinn-jax’s CPU fit time (176 vs 22 s mean).</w:t>
      </w:r>
      <w:r>
        <w:t xml:space="preserve"> </w:t>
      </w:r>
      <w:r>
        <w:t xml:space="preserve">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w:t>
      </w:r>
      <w:r>
        <w:t xml:space="preserve"> </w:t>
      </w:r>
      <w:hyperlink r:id="rId72">
        <w:r>
          <w:rPr>
            <w:rStyle w:val="Hyperlink"/>
          </w:rPr>
          <w:t xml:space="preserve">[Souza &amp; Mehta 2026]</w:t>
        </w:r>
      </w:hyperlink>
      <w:r>
        <w:t xml:space="preserve"> </w:t>
      </w:r>
      <w:r>
        <w:t xml:space="preserve">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On</w:t>
      </w:r>
      <w:r>
        <w:t xml:space="preserve"> </w:t>
      </w:r>
      <w:r>
        <w:t xml:space="preserve">Tabula Sapiens 2.0 their normalize→ANOVA→PCA→logistic-regression pipeline reaches mean</w:t>
      </w:r>
      <w:r>
        <w:t xml:space="preserve"> </w:t>
      </w:r>
      <w:r>
        <w:t xml:space="preserve">macro-F1 0.899, against 0.907–0.910 for TranscriptFormer variants. Their explanation is</w:t>
      </w:r>
      <w:r>
        <w:t xml:space="preserve"> </w:t>
      </w:r>
      <w:r>
        <w:t xml:space="preserve">geometric: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that degrades gradually on unfamiliar data still assigns</w:t>
      </w:r>
      <w:r>
        <w:t xml:space="preserve"> </w:t>
      </w:r>
      <w:r>
        <w:t xml:space="preserve">lower confidence to the cells it is getting wrong, so a threshold separates them; a method</w:t>
      </w:r>
      <w:r>
        <w:t xml:space="preserve"> </w:t>
      </w:r>
      <w:r>
        <w:t xml:space="preserve">that degrades abruptly can be confidently wrong, and no threshold helps.</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broad→focused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pass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six to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The part of any fixed typology that cannot be performed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the leading methods differ by at most 0.008 in accuracy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73"/>
    <w:bookmarkStart w:id="74" w:name="limitations"/>
    <w:p>
      <w:pPr>
        <w:pStyle w:val="Heading1"/>
      </w:pPr>
      <w:r>
        <w:t xml:space="preserve">Limitations</w:t>
      </w:r>
    </w:p>
    <w:p>
      <w:pPr>
        <w:pStyle w:val="Compact"/>
        <w:numPr>
          <w:ilvl w:val="0"/>
          <w:numId w:val="1007"/>
        </w:numPr>
      </w:pPr>
      <w:r>
        <w:t xml:space="preserve">Single hardware family for the in-house panel (Apple Silicon); no discrete-GPU numbers</w:t>
      </w:r>
      <w:r>
        <w:t xml:space="preserve"> </w:t>
      </w:r>
      <w:r>
        <w:t xml:space="preserve">there. The deep and foundation methods are written for CUDA and we would expect them to be</w:t>
      </w:r>
      <w:r>
        <w:t xml:space="preserve"> </w:t>
      </w:r>
      <w:r>
        <w:t xml:space="preserve">faster on it, but we did not measure that — it is outside the</w:t>
      </w:r>
      <w:r>
        <w:t xml:space="preserve"> </w:t>
      </w:r>
      <w:r>
        <w:t xml:space="preserve">“runs-on-a-laptop”</w:t>
      </w:r>
      <w:r>
        <w:t xml:space="preserve"> </w:t>
      </w:r>
      <w:r>
        <w:t xml:space="preserve">question,</w:t>
      </w:r>
      <w:r>
        <w:t xml:space="preserve"> </w:t>
      </w:r>
      <w:r>
        <w:t xml:space="preserve">and every timing here should be read as this hardware’s.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7"/>
        </w:numPr>
      </w:pPr>
      <w:r>
        <w:rPr>
          <w:b/>
          <w:bCs/>
        </w:rPr>
        <w:t xml:space="preserve">Wall-clock comparisons across methods are only meaningful at matched concurrency.</w:t>
      </w:r>
      <w:r>
        <w:t xml:space="preserve"> </w:t>
      </w:r>
      <w:r>
        <w:t xml:space="preserve">Measured</w:t>
      </w:r>
      <w:r>
        <w:t xml:space="preserve"> </w:t>
      </w:r>
      <w:r>
        <w:rPr>
          <w:rStyle w:val="VerbatimChar"/>
        </w:rPr>
        <w:t xml:space="preserve">%cpu</w:t>
      </w:r>
      <w:r>
        <w:t xml:space="preserve"> </w:t>
      </w:r>
      <w:r>
        <w:t xml:space="preserve">on the OP harness spans 49% to 2338% across methods — some are</w:t>
      </w:r>
      <w:r>
        <w:t xml:space="preserve"> </w:t>
      </w:r>
      <w:r>
        <w:t xml:space="preserve">single-threaded, some saturate 23 cores — so the same method timed at two concurrency</w:t>
      </w:r>
      <w:r>
        <w:t xml:space="preserve"> </w:t>
      </w:r>
      <w:r>
        <w:t xml:space="preserve">settings differs by up to 12×, and any wall-clock ranking taken at high concurrency</w:t>
      </w:r>
      <w:r>
        <w:t xml:space="preserve"> </w:t>
      </w:r>
      <w:r>
        <w:t xml:space="preserve">silently ranks threading and scheduler contention alongside algorithm. Table 10 therefore</w:t>
      </w:r>
      <w:r>
        <w:t xml:space="preserve"> </w:t>
      </w:r>
      <w:r>
        <w:t xml:space="preserve">reports cost as a ratio within a run, anchored by a method common to both (§2.10) — the</w:t>
      </w:r>
      <w:r>
        <w:t xml:space="preserve"> </w:t>
      </w:r>
      <w:r>
        <w:t xml:space="preserve">anchor itself moved 165 s → 87 s between them, which is the size of the effect.</w:t>
      </w:r>
    </w:p>
    <w:p>
      <w:pPr>
        <w:pStyle w:val="Compact"/>
        <w:numPr>
          <w:ilvl w:val="0"/>
          <w:numId w:val="1007"/>
        </w:numPr>
      </w:pPr>
      <w:r>
        <w:t xml:space="preserve">Subsampled references (to keep the matrix tractable); the scaling section characterizes</w:t>
      </w:r>
      <w:r>
        <w:t xml:space="preserve"> </w:t>
      </w:r>
      <w:r>
        <w:t xml:space="preserve">the size dependence directly.</w:t>
      </w:r>
    </w:p>
    <w:p>
      <w:pPr>
        <w:pStyle w:val="Compact"/>
        <w:numPr>
          <w:ilvl w:val="0"/>
          <w:numId w:val="1007"/>
        </w:numPr>
      </w:pPr>
      <w:r>
        <w:rPr>
          <w:b/>
          <w:bCs/>
        </w:rPr>
        <w:t xml:space="preserve">The cross-method comparison is human only</w:t>
      </w:r>
      <w:r>
        <w:t xml:space="preserve">; six datasets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7"/>
        </w:numPr>
      </w:pPr>
      <w:r>
        <w:t xml:space="preserve">actinn-jax needs more cells/type than linear methods to reach parity (§3.1); on very small</w:t>
      </w:r>
      <w:r>
        <w:t xml:space="preserve"> </w:t>
      </w:r>
      <w:r>
        <w:t xml:space="preserve">references it trails.</w:t>
      </w:r>
    </w:p>
    <w:p>
      <w:pPr>
        <w:pStyle w:val="Compact"/>
        <w:numPr>
          <w:ilvl w:val="0"/>
          <w:numId w:val="1007"/>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behavior on biology the corpus never saw.</w:t>
      </w:r>
    </w:p>
    <w:p>
      <w:pPr>
        <w:pStyle w:val="Compact"/>
        <w:numPr>
          <w:ilvl w:val="0"/>
          <w:numId w:val="1007"/>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7"/>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7"/>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7× faster on this panel’s hardware (§2.5), with its largest margin</w:t>
      </w:r>
      <w:r>
        <w:t xml:space="preserve"> </w:t>
      </w:r>
      <w:r>
        <w:t xml:space="preserve">on the 86-type blood+gut set (+4.2 pt).</w:t>
      </w:r>
      <w:r>
        <w:t xml:space="preserve"> </w:t>
      </w:r>
      <w:r>
        <w:t xml:space="preserve">Wall-clock ratios between a JAX model and a scikit-learn pipeline shift with the CPU and</w:t>
      </w:r>
      <w:r>
        <w:t xml:space="preserve"> </w:t>
      </w:r>
      <w:r>
        <w:t xml:space="preserve">the threading available, so read them as this machine’s, not as constants. The §3.1</w:t>
      </w:r>
      <w:r>
        <w:t xml:space="preserve"> </w:t>
      </w:r>
      <w:r>
        <w:t xml:space="preserve">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w:t>
      </w:r>
      <w:r>
        <w:t xml:space="preserve"> </w:t>
      </w:r>
      <w:r>
        <w:t xml:space="preserve">still to fit but competitive only at small, low cardinality — its own best macro-F1 on</w:t>
      </w:r>
      <w:r>
        <w:t xml:space="preserve"> </w:t>
      </w:r>
      <w:r>
        <w:t xml:space="preserve">pbmc (0.837), degrading to 0.644 on liver.</w:t>
      </w:r>
    </w:p>
    <w:p>
      <w:pPr>
        <w:pStyle w:val="Compact"/>
        <w:numPr>
          <w:ilvl w:val="0"/>
          <w:numId w:val="1007"/>
        </w:numPr>
      </w:pPr>
      <w:r>
        <w:rPr>
          <w:b/>
          <w:bCs/>
        </w:rPr>
        <w:t xml:space="preserve">actinn-jax’s memory advantage is bounded, and the linear pipeline scales further than a</w:t>
      </w:r>
      <w:r>
        <w:rPr>
          <w:b/>
          <w:bCs/>
        </w:rPr>
        <w:t xml:space="preserve"> </w:t>
      </w:r>
      <w:r>
        <w:rPr>
          <w:b/>
          <w:bCs/>
        </w:rPr>
        <w:t xml:space="preserve">naive extrapolation implies</w:t>
      </w:r>
      <w:r>
        <w:t xml:space="preserve">. Extrapolating the</w:t>
      </w:r>
      <w:r>
        <w:t xml:space="preserve"> </w:t>
      </w:r>
      <w:r>
        <w:t xml:space="preserve">linear pipeline’s small-reference footprint overstates its atlas-scale peak by ~2.4× — the</w:t>
      </w:r>
      <w:r>
        <w:t xml:space="preserve"> </w:t>
      </w:r>
      <w:r>
        <w:t xml:space="preserve">measured figure is</w:t>
      </w:r>
      <w:r>
        <w:t xml:space="preserve"> </w:t>
      </w:r>
      <w:r>
        <w:rPr>
          <w:b/>
          <w:bCs/>
        </w:rPr>
        <w:t xml:space="preserve">13.2 GB</w:t>
      </w:r>
      <w:r>
        <w:t xml:space="preserve"> </w:t>
      </w:r>
      <w:r>
        <w:t xml:space="preserve">at 49k reference cells — because its feature-selection step</w:t>
      </w:r>
      <w:r>
        <w:t xml:space="preserve"> </w:t>
      </w:r>
      <w:r>
        <w:t xml:space="preserve">caps the dense matrix at 20,000 genes rather than the full gene set. The linear/actinn-jax</w:t>
      </w:r>
      <w:r>
        <w:t xml:space="preserve"> </w:t>
      </w:r>
      <w:r>
        <w:t xml:space="preserve">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in this setting should be measured, not extrapolated.</w:t>
      </w:r>
    </w:p>
    <w:p>
      <w:pPr>
        <w:pStyle w:val="Compact"/>
        <w:numPr>
          <w:ilvl w:val="0"/>
          <w:numId w:val="1007"/>
        </w:numPr>
      </w:pPr>
      <w:r>
        <w:rPr>
          <w:b/>
          <w:bCs/>
        </w:rPr>
        <w:t xml:space="preserve">At atlas scale the ordering changes and the deep model leads.</w:t>
      </w:r>
      <w:r>
        <w:t xml:space="preserve"> </w:t>
      </w:r>
      <w:r>
        <w:t xml:space="preserve">Scaling the lung reference</w:t>
      </w:r>
      <w:r>
        <w:t xml:space="preserve"> </w:t>
      </w:r>
      <w:r>
        <w:t xml:space="preserve">3k → 49k cells,</w:t>
      </w:r>
      <w:r>
        <w:t xml:space="preserve"> </w:t>
      </w:r>
      <w:r>
        <w:rPr>
          <w:b/>
          <w:bCs/>
        </w:rPr>
        <w:t xml:space="preserve">ProtoCloud goes from worst (0.722) to best (0.976)</w:t>
      </w:r>
      <w:r>
        <w:t xml:space="preserve">, clear of actinn-jax</w:t>
      </w:r>
      <w:r>
        <w:t xml:space="preserve"> </w:t>
      </w:r>
      <w:r>
        <w:t xml:space="preserve">(0.936) and the linear pipeline (0.939), at 19× the CPU fit cost; scTOP gains nothing from</w:t>
      </w:r>
      <w:r>
        <w:t xml:space="preserve"> </w:t>
      </w:r>
      <w:r>
        <w:t xml:space="preserve">scale (0.819 → 0.846) and loses its memory edge (1.22× actinn-jax at 49k). This replicates</w:t>
      </w:r>
      <w:r>
        <w:t xml:space="preserve"> </w:t>
      </w:r>
      <w:r>
        <w:t xml:space="preserve">on the HLiCA liver atlas (36 types, 525k cells, sweep to 47k ref): same bounded ~2× memory</w:t>
      </w:r>
      <w:r>
        <w:t xml:space="preserve"> </w:t>
      </w:r>
      <w:r>
        <w:t xml:space="preserve">band, same ProtoCloud reversal (0.581 → 0.905), same scTOP stagnation (0.657 → 0.583), with</w:t>
      </w:r>
      <w:r>
        <w:t xml:space="preserve"> </w:t>
      </w:r>
      <w:r>
        <w:t xml:space="preserve">scTOP crossing over to heavier than actinn-jax (1.41×). Conclusions drawn from subsampled</w:t>
      </w:r>
      <w:r>
        <w:t xml:space="preserve"> </w:t>
      </w:r>
      <w:r>
        <w:t xml:space="preserve">references do not transfer to atlas scale, in either direction.</w:t>
      </w:r>
    </w:p>
    <w:p>
      <w:pPr>
        <w:pStyle w:val="Compact"/>
        <w:numPr>
          <w:ilvl w:val="0"/>
          <w:numId w:val="1007"/>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74"/>
    <w:bookmarkStart w:id="80" w:name="data-code-availability"/>
    <w:p>
      <w:pPr>
        <w:pStyle w:val="Heading1"/>
      </w:pPr>
      <w:r>
        <w:t xml:space="preserve">Data &amp; code availability</w:t>
      </w:r>
    </w:p>
    <w:p>
      <w:pPr>
        <w:pStyle w:val="FirstParagraph"/>
      </w:pPr>
      <w:r>
        <w:t xml:space="preserve">Two repositories hold everything needed to reproduce this work. The</w:t>
      </w:r>
      <w:r>
        <w:t xml:space="preserve"> </w:t>
      </w:r>
      <w:hyperlink r:id="rId33">
        <w:r>
          <w:rPr>
            <w:rStyle w:val="Hyperlink"/>
            <w:b/>
            <w:bCs/>
          </w:rPr>
          <w:t xml:space="preserve">benchmark repository</w:t>
        </w:r>
      </w:hyperlink>
      <w:r>
        <w:t xml:space="preserve"> </w:t>
      </w:r>
      <w:r>
        <w:t xml:space="preserve">carries the harness, the per-method adapters, the run</w:t>
      </w:r>
      <w:r>
        <w:t xml:space="preserve"> </w:t>
      </w:r>
      <w:r>
        <w:t xml:space="preserve">configurations that produce every number reported here, the environment lockfiles, the</w:t>
      </w:r>
      <w:r>
        <w:t xml:space="preserve"> </w:t>
      </w:r>
      <w:r>
        <w:t xml:space="preserve">result tables including the unified eleven-method matrix, and the figure scripts. The</w:t>
      </w:r>
      <w:r>
        <w:t xml:space="preserve"> </w:t>
      </w:r>
      <w:hyperlink r:id="rId75">
        <w:r>
          <w:rPr>
            <w:rStyle w:val="Hyperlink"/>
            <w:b/>
            <w:bCs/>
          </w:rPr>
          <w:t xml:space="preserve">actinn-jax package</w:t>
        </w:r>
      </w:hyperlink>
      <w:r>
        <w:t xml:space="preserve"> </w:t>
      </w:r>
      <w:r>
        <w:t xml:space="preserve">is on PyPI</w:t>
      </w:r>
      <w:r>
        <w:t xml:space="preserve"> </w:t>
      </w:r>
      <w:r>
        <w:t xml:space="preserve">(</w:t>
      </w:r>
      <w:r>
        <w:rPr>
          <w:rStyle w:val="VerbatimChar"/>
        </w:rPr>
        <w:t xml:space="preserve">pip install actinn-jax</w:t>
      </w:r>
      <w:r>
        <w:t xml:space="preserve">). Rebuilding the shipped broad reference is a single documented</w:t>
      </w:r>
      <w:r>
        <w:t xml:space="preserve"> </w:t>
      </w:r>
      <w:r>
        <w:t xml:space="preserve">command; the distilled broad-pass reference, the pan-mouse reference and the Cell-Ontology</w:t>
      </w:r>
      <w:r>
        <w:t xml:space="preserve"> </w:t>
      </w:r>
      <w:r>
        <w:t xml:space="preserve">hierarchy it depends on each have their own build documentation in the benchmark</w:t>
      </w:r>
      <w:r>
        <w:t xml:space="preserve"> </w:t>
      </w:r>
      <w:r>
        <w:t xml:space="preserve">repository, and the file-level detail lives there rather than here.</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76">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77">
        <w:r>
          <w:rPr>
            <w:rStyle w:val="Hyperlink"/>
          </w:rPr>
          <w:t xml:space="preserve">10.5281/zenodo.21688150</w:t>
        </w:r>
      </w:hyperlink>
      <w:r>
        <w:t xml:space="preserve"> </w:t>
      </w:r>
      <w:r>
        <w:t xml:space="preserve">for the</w:t>
      </w:r>
      <w:r>
        <w:t xml:space="preserve"> </w:t>
      </w:r>
      <w:r>
        <w:t xml:space="preserve">latest version). The package downloads and caches them on first use, so no manual</w:t>
      </w:r>
      <w:r>
        <w:t xml:space="preserve"> </w:t>
      </w:r>
      <w:r>
        <w:t xml:space="preserve">retrieval is needed, and can pre-download them for offline use.</w:t>
      </w:r>
    </w:p>
    <w:p>
      <w:pPr>
        <w:pStyle w:val="BodyText"/>
      </w:pPr>
      <w:r>
        <w:t xml:space="preserve">HLiCA data © Edgar et al. 2026 (CC-BY 4.0),</w:t>
      </w:r>
      <w:r>
        <w:t xml:space="preserve"> </w:t>
      </w:r>
      <w:hyperlink r:id="rId29">
        <w:r>
          <w:rPr>
            <w:rStyle w:val="Hyperlink"/>
          </w:rPr>
          <w:t xml:space="preserve">[doi:10.64898/2026.06.30.735539]</w:t>
        </w:r>
      </w:hyperlink>
      <w:r>
        <w:t xml:space="preserve">.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25">
        <w:r>
          <w:rPr>
            <w:rStyle w:val="Hyperlink"/>
          </w:rPr>
          <w:t xml:space="preserve">doi:10.64898/2026.07.16.738997</w:t>
        </w:r>
      </w:hyperlink>
      <w:r>
        <w:t xml:space="preserve">); its weights are</w:t>
      </w:r>
      <w:r>
        <w:t xml:space="preserve"> </w:t>
      </w:r>
      <w:r>
        <w:t xml:space="preserve">© the authors under</w:t>
      </w:r>
      <w:r>
        <w:t xml:space="preserve"> </w:t>
      </w:r>
      <w:hyperlink r:id="rId78">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79">
        <w:r>
          <w:rPr>
            <w:rStyle w:val="Hyperlink"/>
          </w:rPr>
          <w:t xml:space="preserve">Zenodo</w:t>
        </w:r>
      </w:hyperlink>
      <w:r>
        <w:t xml:space="preserve">. Attribution is a</w:t>
      </w:r>
      <w:r>
        <w:t xml:space="preserve"> </w:t>
      </w:r>
      <w:r>
        <w:t xml:space="preserve">condition of that licence and travels inside each shipped model’s build record.</w:t>
      </w:r>
    </w:p>
    <w:p>
      <w:pPr>
        <w:pStyle w:val="BodyText"/>
      </w:pPr>
      <w:r>
        <w:rPr>
          <w:b/>
          <w:bCs/>
        </w:rPr>
        <w:t xml:space="preserve">Additional documentation.</w:t>
      </w:r>
      <w:r>
        <w:t xml:space="preserve"> </w:t>
      </w:r>
      <w:r>
        <w:t xml:space="preserve">The</w:t>
      </w:r>
      <w:r>
        <w:t xml:space="preserve"> </w:t>
      </w:r>
      <w:hyperlink r:id="rId33">
        <w:r>
          <w:rPr>
            <w:rStyle w:val="Hyperlink"/>
          </w:rPr>
          <w:t xml:space="preserve">benchmark repository</w:t>
        </w:r>
      </w:hyperlink>
      <w:r>
        <w:t xml:space="preserve"> </w:t>
      </w:r>
      <w:r>
        <w:t xml:space="preserve">carries detailed notes for each result — tuned linear pipeline and sctop baselines; protocloud comparison; scaling and memory to atlas size; survey of cell-type annotation methods; rebuilding the broad reference; distilling pan-human azimuth; and 9 more.</w:t>
      </w:r>
    </w:p>
    <w:p>
      <w:pPr>
        <w:pStyle w:val="BodyText"/>
      </w:pPr>
      <w:r>
        <w:rPr>
          <w:b/>
          <w:bCs/>
        </w:rPr>
        <w:t xml:space="preserve">Supplementary material</w:t>
      </w:r>
      <w:r>
        <w:t xml:space="preserve"> </w:t>
      </w:r>
      <w:r>
        <w:t xml:space="preserve">(separate document) contains Figures S1–S5 — confusion matrices</w:t>
      </w:r>
      <w:r>
        <w:t xml:space="preserve"> </w:t>
      </w:r>
      <w:r>
        <w:t xml:space="preserve">with ontology-equivalent errors outlined, the abstain trade-off, and per-class recall across</w:t>
      </w:r>
      <w:r>
        <w:t xml:space="preserve"> </w:t>
      </w:r>
      <w:r>
        <w:t xml:space="preserve">eleven methods on three splits — and Tables S1–S3, the method and dataset descriptions and</w:t>
      </w:r>
      <w:r>
        <w:t xml:space="preserve"> </w:t>
      </w:r>
      <w:r>
        <w:t xml:space="preserve">per-dataset accuracy.</w:t>
      </w:r>
    </w:p>
    <w:bookmarkEnd w:id="80"/>
    <w:bookmarkStart w:id="81" w:name="references"/>
    <w:p>
      <w:pPr>
        <w:pStyle w:val="Heading1"/>
      </w:pPr>
      <w:r>
        <w:t xml:space="preserve">References</w:t>
      </w:r>
    </w:p>
    <w:p>
      <w:pPr>
        <w:pStyle w:val="Compact"/>
        <w:numPr>
          <w:ilvl w:val="0"/>
          <w:numId w:val="1008"/>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1">
        <w:r>
          <w:rPr>
            <w:rStyle w:val="Hyperlink"/>
          </w:rPr>
          <w:t xml:space="preserve">10xgenomics.com/datasets/3-k-pbm-cs-from-a-healthy-donor-1-standard-1-1-0</w:t>
        </w:r>
      </w:hyperlink>
      <w:r>
        <w:t xml:space="preserve">.</w:t>
      </w:r>
    </w:p>
    <w:p>
      <w:pPr>
        <w:pStyle w:val="Compact"/>
        <w:numPr>
          <w:ilvl w:val="0"/>
          <w:numId w:val="1008"/>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9">
        <w:r>
          <w:rPr>
            <w:rStyle w:val="Hyperlink"/>
          </w:rPr>
          <w:t xml:space="preserve">doi:10.1186/s13059-019-1795-z</w:t>
        </w:r>
      </w:hyperlink>
      <w:r>
        <w:t xml:space="preserve">.</w:t>
      </w:r>
    </w:p>
    <w:p>
      <w:pPr>
        <w:pStyle w:val="Compact"/>
        <w:numPr>
          <w:ilvl w:val="0"/>
          <w:numId w:val="1008"/>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0">
        <w:r>
          <w:rPr>
            <w:rStyle w:val="Hyperlink"/>
          </w:rPr>
          <w:t xml:space="preserve">doi:10.1038/s41586-026-10627-z</w:t>
        </w:r>
      </w:hyperlink>
      <w:r>
        <w:t xml:space="preserve">.</w:t>
      </w:r>
    </w:p>
    <w:p>
      <w:pPr>
        <w:pStyle w:val="Compact"/>
        <w:numPr>
          <w:ilvl w:val="0"/>
          <w:numId w:val="1008"/>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19">
        <w:r>
          <w:rPr>
            <w:rStyle w:val="Hyperlink"/>
          </w:rPr>
          <w:t xml:space="preserve">doi:10.1038/s41590-018-0276-y</w:t>
        </w:r>
      </w:hyperlink>
      <w:r>
        <w:t xml:space="preserve">.</w:t>
      </w:r>
    </w:p>
    <w:p>
      <w:pPr>
        <w:pStyle w:val="Compact"/>
        <w:numPr>
          <w:ilvl w:val="0"/>
          <w:numId w:val="1008"/>
        </w:numPr>
      </w:pPr>
      <w:r>
        <w:t xml:space="preserve">Bradbury J, et al. JAX: composable transformations of Python+NumPy programs (2018).</w:t>
      </w:r>
      <w:r>
        <w:t xml:space="preserve"> </w:t>
      </w:r>
      <w:hyperlink r:id="rId14">
        <w:r>
          <w:rPr>
            <w:rStyle w:val="Hyperlink"/>
          </w:rPr>
          <w:t xml:space="preserve">github.com/jax-ml/jax</w:t>
        </w:r>
      </w:hyperlink>
      <w:r>
        <w:t xml:space="preserve">.</w:t>
      </w:r>
    </w:p>
    <w:p>
      <w:pPr>
        <w:pStyle w:val="Compact"/>
        <w:numPr>
          <w:ilvl w:val="0"/>
          <w:numId w:val="1008"/>
        </w:numPr>
      </w:pPr>
      <w:r>
        <w:t xml:space="preserve">CZI Cell Science Program. CZ CELLxGENE Discover Census, LTS release 2025-11-08.</w:t>
      </w:r>
      <w:r>
        <w:t xml:space="preserve"> </w:t>
      </w:r>
      <w:hyperlink r:id="rId36">
        <w:r>
          <w:rPr>
            <w:rStyle w:val="Hyperlink"/>
          </w:rPr>
          <w:t xml:space="preserve">chanzuckerberg.github.io/cellxgene-census</w:t>
        </w:r>
      </w:hyperlink>
      <w:r>
        <w:t xml:space="preserve">.</w:t>
      </w:r>
    </w:p>
    <w:p>
      <w:pPr>
        <w:pStyle w:val="Compact"/>
        <w:numPr>
          <w:ilvl w:val="0"/>
          <w:numId w:val="1008"/>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63">
        <w:r>
          <w:rPr>
            <w:rStyle w:val="Hyperlink"/>
          </w:rPr>
          <w:t xml:space="preserve">doi:10.1145/2939672.2939785</w:t>
        </w:r>
      </w:hyperlink>
      <w:r>
        <w:t xml:space="preserve">.</w:t>
      </w:r>
    </w:p>
    <w:p>
      <w:pPr>
        <w:pStyle w:val="Compact"/>
        <w:numPr>
          <w:ilvl w:val="0"/>
          <w:numId w:val="1008"/>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17">
        <w:r>
          <w:rPr>
            <w:rStyle w:val="Hyperlink"/>
          </w:rPr>
          <w:t xml:space="preserve">doi:10.1126/science.abl5197</w:t>
        </w:r>
      </w:hyperlink>
      <w:r>
        <w:t xml:space="preserve">.</w:t>
      </w:r>
    </w:p>
    <w:p>
      <w:pPr>
        <w:pStyle w:val="Compact"/>
        <w:numPr>
          <w:ilvl w:val="0"/>
          <w:numId w:val="1008"/>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29">
        <w:r>
          <w:rPr>
            <w:rStyle w:val="Hyperlink"/>
          </w:rPr>
          <w:t xml:space="preserve">doi:10.64898/2026.06.30.735539</w:t>
        </w:r>
      </w:hyperlink>
      <w:r>
        <w:t xml:space="preserve">.</w:t>
      </w:r>
    </w:p>
    <w:p>
      <w:pPr>
        <w:pStyle w:val="Compact"/>
        <w:numPr>
          <w:ilvl w:val="0"/>
          <w:numId w:val="1008"/>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10">
        <w:r>
          <w:rPr>
            <w:rStyle w:val="Hyperlink"/>
          </w:rPr>
          <w:t xml:space="preserve">doi:10.1093/bib/bbae392</w:t>
        </w:r>
      </w:hyperlink>
      <w:r>
        <w:t xml:space="preserve">.</w:t>
      </w:r>
    </w:p>
    <w:p>
      <w:pPr>
        <w:pStyle w:val="Compact"/>
        <w:numPr>
          <w:ilvl w:val="0"/>
          <w:numId w:val="1008"/>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23">
        <w:r>
          <w:rPr>
            <w:rStyle w:val="Hyperlink"/>
          </w:rPr>
          <w:t xml:space="preserve">doi:10.1016/j.xgen.2026.101217</w:t>
        </w:r>
      </w:hyperlink>
      <w:r>
        <w:t xml:space="preserve">.</w:t>
      </w:r>
    </w:p>
    <w:p>
      <w:pPr>
        <w:pStyle w:val="Compact"/>
        <w:numPr>
          <w:ilvl w:val="0"/>
          <w:numId w:val="1008"/>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24">
        <w:r>
          <w:rPr>
            <w:rStyle w:val="Hyperlink"/>
          </w:rPr>
          <w:t xml:space="preserve">doi:10.1038/s41467-025-58699-1</w:t>
        </w:r>
      </w:hyperlink>
      <w:r>
        <w:t xml:space="preserve">.</w:t>
      </w:r>
    </w:p>
    <w:p>
      <w:pPr>
        <w:pStyle w:val="Compact"/>
        <w:numPr>
          <w:ilvl w:val="0"/>
          <w:numId w:val="1008"/>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20">
        <w:r>
          <w:rPr>
            <w:rStyle w:val="Hyperlink"/>
          </w:rPr>
          <w:t xml:space="preserve">doi:10.1038/nmeth.4644</w:t>
        </w:r>
      </w:hyperlink>
      <w:r>
        <w:t xml:space="preserve">.</w:t>
      </w:r>
    </w:p>
    <w:p>
      <w:pPr>
        <w:pStyle w:val="Compact"/>
        <w:numPr>
          <w:ilvl w:val="0"/>
          <w:numId w:val="1008"/>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8"/>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22">
        <w:r>
          <w:rPr>
            <w:rStyle w:val="Hyperlink"/>
          </w:rPr>
          <w:t xml:space="preserve">doi:10.1038/s41587-021-01001-7</w:t>
        </w:r>
      </w:hyperlink>
      <w:r>
        <w:t xml:space="preserve">.</w:t>
      </w:r>
    </w:p>
    <w:p>
      <w:pPr>
        <w:pStyle w:val="Compact"/>
        <w:numPr>
          <w:ilvl w:val="0"/>
          <w:numId w:val="1008"/>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8"/>
        </w:numPr>
      </w:pPr>
      <w:r>
        <w:t xml:space="preserve">Open Problems for Single-Cell Analysis Consortium. Open Problems: a living benchmark for single-cell analysis (2024).</w:t>
      </w:r>
      <w:r>
        <w:t xml:space="preserve"> </w:t>
      </w:r>
      <w:hyperlink r:id="rId41">
        <w:r>
          <w:rPr>
            <w:rStyle w:val="Hyperlink"/>
          </w:rPr>
          <w:t xml:space="preserve">openproblems.bio</w:t>
        </w:r>
      </w:hyperlink>
      <w:r>
        <w:t xml:space="preserve">.</w:t>
      </w:r>
    </w:p>
    <w:p>
      <w:pPr>
        <w:pStyle w:val="Compact"/>
        <w:numPr>
          <w:ilvl w:val="0"/>
          <w:numId w:val="1008"/>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16">
        <w:r>
          <w:rPr>
            <w:rStyle w:val="Hyperlink"/>
          </w:rPr>
          <w:t xml:space="preserve">jmlr.org/papers/v12/pedregosa11a.html</w:t>
        </w:r>
      </w:hyperlink>
      <w:r>
        <w:t xml:space="preserve">.</w:t>
      </w:r>
    </w:p>
    <w:p>
      <w:pPr>
        <w:pStyle w:val="Compact"/>
        <w:numPr>
          <w:ilvl w:val="0"/>
          <w:numId w:val="1008"/>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3">
        <w:r>
          <w:rPr>
            <w:rStyle w:val="Hyperlink"/>
          </w:rPr>
          <w:t xml:space="preserve">doi:10.1038/s41586-026-10689-z</w:t>
        </w:r>
      </w:hyperlink>
      <w:r>
        <w:t xml:space="preserve">.</w:t>
      </w:r>
    </w:p>
    <w:p>
      <w:pPr>
        <w:pStyle w:val="Compact"/>
        <w:numPr>
          <w:ilvl w:val="0"/>
          <w:numId w:val="1008"/>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25">
        <w:r>
          <w:rPr>
            <w:rStyle w:val="Hyperlink"/>
          </w:rPr>
          <w:t xml:space="preserve">doi:10.64898/2026.07.16.738997</w:t>
        </w:r>
      </w:hyperlink>
      <w:r>
        <w:t xml:space="preserve">.</w:t>
      </w:r>
    </w:p>
    <w:p>
      <w:pPr>
        <w:pStyle w:val="Compact"/>
        <w:numPr>
          <w:ilvl w:val="0"/>
          <w:numId w:val="1008"/>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28">
        <w:r>
          <w:rPr>
            <w:rStyle w:val="Hyperlink"/>
          </w:rPr>
          <w:t xml:space="preserve">doi:10.1038/s41591-023-02327-2</w:t>
        </w:r>
      </w:hyperlink>
      <w:r>
        <w:t xml:space="preserve">.</w:t>
      </w:r>
    </w:p>
    <w:p>
      <w:pPr>
        <w:pStyle w:val="Compact"/>
        <w:numPr>
          <w:ilvl w:val="0"/>
          <w:numId w:val="1008"/>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72">
        <w:r>
          <w:rPr>
            <w:rStyle w:val="Hyperlink"/>
          </w:rPr>
          <w:t xml:space="preserve">doi:10.64898/2026.02.11.705358</w:t>
        </w:r>
      </w:hyperlink>
      <w:r>
        <w:t xml:space="preserve">.</w:t>
      </w:r>
    </w:p>
    <w:p>
      <w:pPr>
        <w:pStyle w:val="Compact"/>
        <w:numPr>
          <w:ilvl w:val="0"/>
          <w:numId w:val="1008"/>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27">
        <w:r>
          <w:rPr>
            <w:rStyle w:val="Hyperlink"/>
          </w:rPr>
          <w:t xml:space="preserve">doi:10.1038/s41586-020-2922-4</w:t>
        </w:r>
      </w:hyperlink>
      <w:r>
        <w:t xml:space="preserve">.</w:t>
      </w:r>
    </w:p>
    <w:p>
      <w:pPr>
        <w:pStyle w:val="Compact"/>
        <w:numPr>
          <w:ilvl w:val="0"/>
          <w:numId w:val="1008"/>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21">
        <w:r>
          <w:rPr>
            <w:rStyle w:val="Hyperlink"/>
          </w:rPr>
          <w:t xml:space="preserve">doi:10.15252/msb.20209620</w:t>
        </w:r>
      </w:hyperlink>
      <w:r>
        <w:t xml:space="preserve">.</w:t>
      </w:r>
    </w:p>
    <w:p>
      <w:pPr>
        <w:pStyle w:val="Compact"/>
        <w:numPr>
          <w:ilvl w:val="0"/>
          <w:numId w:val="1008"/>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18">
        <w:r>
          <w:rPr>
            <w:rStyle w:val="Hyperlink"/>
          </w:rPr>
          <w:t xml:space="preserve">doi:10.1242/dev.201873</w:t>
        </w:r>
      </w:hyperlink>
      <w:r>
        <w:t xml:space="preserve">.</w:t>
      </w:r>
    </w:p>
    <w:p>
      <w:pPr>
        <w:pStyle w:val="Compact"/>
        <w:numPr>
          <w:ilvl w:val="0"/>
          <w:numId w:val="1008"/>
        </w:numPr>
      </w:pPr>
      <w:r>
        <w:t xml:space="preserve">Munroe R. Standards.</w:t>
      </w:r>
      <w:r>
        <w:t xml:space="preserve"> </w:t>
      </w:r>
      <w:r>
        <w:rPr>
          <w:i/>
          <w:iCs/>
        </w:rPr>
        <w:t xml:space="preserve">xkcd</w:t>
      </w:r>
      <w:r>
        <w:t xml:space="preserve"> </w:t>
      </w:r>
      <w:r>
        <w:t xml:space="preserve">927.</w:t>
      </w:r>
      <w:r>
        <w:t xml:space="preserve"> </w:t>
      </w:r>
      <w:hyperlink r:id="rId11">
        <w:r>
          <w:rPr>
            <w:rStyle w:val="Hyperlink"/>
          </w:rPr>
          <w:t xml:space="preserve">xkcd.com/927</w:t>
        </w:r>
      </w:hyperlink>
      <w:r>
        <w:t xml:space="preserve">.</w:t>
      </w:r>
    </w:p>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hyperlink" Id="rId36" Target="https://chanzuckerberg.github.io/cellxgene-census/" TargetMode="External" /><Relationship Type="http://schemas.openxmlformats.org/officeDocument/2006/relationships/hyperlink" Id="rId78"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63"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79" Target="https://doi.org/10.5281/zenodo.20401417" TargetMode="External" /><Relationship Type="http://schemas.openxmlformats.org/officeDocument/2006/relationships/hyperlink" Id="rId77" Target="https://doi.org/10.5281/zenodo.21688150" TargetMode="External" /><Relationship Type="http://schemas.openxmlformats.org/officeDocument/2006/relationships/hyperlink" Id="rId76" Target="https://doi.org/10.5281/zenodo.21688151" TargetMode="External" /><Relationship Type="http://schemas.openxmlformats.org/officeDocument/2006/relationships/hyperlink" Id="rId72"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75"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62"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36" Target="https://chanzuckerberg.github.io/cellxgene-census/" TargetMode="External" /><Relationship Type="http://schemas.openxmlformats.org/officeDocument/2006/relationships/hyperlink" Id="rId78"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63"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79" Target="https://doi.org/10.5281/zenodo.20401417" TargetMode="External" /><Relationship Type="http://schemas.openxmlformats.org/officeDocument/2006/relationships/hyperlink" Id="rId77" Target="https://doi.org/10.5281/zenodo.21688150" TargetMode="External" /><Relationship Type="http://schemas.openxmlformats.org/officeDocument/2006/relationships/hyperlink" Id="rId76" Target="https://doi.org/10.5281/zenodo.21688151" TargetMode="External" /><Relationship Type="http://schemas.openxmlformats.org/officeDocument/2006/relationships/hyperlink" Id="rId72"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75"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62"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benchmark of annotation methods and practical low-memory workflows, with actinn-jax</dc:title>
  <dc:creator>Ian Driver</dc:creator>
  <cp:keywords/>
  <dcterms:created xsi:type="dcterms:W3CDTF">2026-08-09T18:50:00Z</dcterms:created>
  <dcterms:modified xsi:type="dcterms:W3CDTF">2026-08-09T18:50:00Z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Reference-based cell-type annotation is a routine, high-volume step in single-cell analysis, and most labs run it on a laptop, not a GPU cluster. We present actinn-jax, a from-scratch JAX reimplementation of ACTINN (a 4-layer MLP classifier) with a sparse-aware pipeline and a train-once/map-many cached reference model, and use it as the occasion for a neutral benchmark of thirteen methods spanning every major class — classical (SVM, kNN), regularized-linear (CellTypist), a carefully-tuned linear pipeline, parameter-free projection (scTOP), marker/correlation (SingleR, scmap), deep probabilistic (scANVI, scArches), an interpretable prototype VAE (ProtoCloud), a pretrained pan-human annotator (Pan-human Azimuth), and a foundation model (scPRINT) — across six datasets (within-dataset, cross-dataset and cross-study; 8 to 86 cell types) plus a five-point scaling sweep to 49k reference cells, measuring accuracy, macro-F1, ontology-aware concordance, fit and predict time, and peak memory on commodity Apple-Silicon hardware. Accuracy differences among the leading methods are small; their cost differences are not. The top of the accuracy table is a four-way cluster spanning 0.008 (0.831–0.839), led by a carefully preprocessed linear pipeline (normalize → ANOVA → PCA → logistic regression, 0.839) rather than by a deep model, with scANVI, scArches and actinn-jax (0.831) alongside it. Those same four methods differ by ~260× in predict time (0.34 s to 89 s) and 2.4× in peak memory (1.8 to 4.3 GB). The linear pipeline is the most accurate-per-second option on laptop-sized data, fitting 7× faster than actinn-jax (3.0 vs. 21.9 s). At atlas scale the ordering changes: ProtoCloud rises from worst at 3k reference cells (0.722) to best at 49k (0.976, vs. 0.936 for actinn-jax and 0.939 for the linear pipeline). No method leads everywhere, and methods separated by less than a percentage point of accuracy are separated by two orders of magnitude in cost. Because the leading methods now annotate quickly, accurately, and with a usable handle on unknown cells, the useful contribution is not another ranking but an account of which tool fits which job, and what the surrounding workflow looks like. Every method is run on every dataset through one harness on identical splits, the panel deliberately includes the baselines most likely to beat a small MLP, and the external validation is somebody else’s benchmark — Open Problems (OP) label_projection, whose datasets, metrics and ranking we did not choose. We report the results as a decision aid: accuracy-per-second, accuracy-per-byte, and behavior from 3k to 49k reference cells. We then use actinn-jax to demonstrate end-to-end workflows that a low, flat cost profile makes practical — on human data, and on mouse via a hierarchy derived from the Cell Ontology that removes the GPU step from building a reference. The workflows are: annotating an unknown human dataset from a shipped census-scale reference (~800 cell types, calibrated abstain) with no training; tissue-aware refinement that halves spurious cross-tissue labels on a liver query; a broad→focused hand-off to a small focused reference (held-out cross-study liver 0.23/0.58 → 0.72/0.86, exact-match / Cell-Ontology-aware); within-cell-type resolution (hepatocyte zonation); and a cluster-level novel-cell-type screen that recovers a withheld pulmonary ionocyte population and its marker ASCL3. What enables this is inference that is sub-second and flat — independent of reference size and cardinality — over a cached reference that is trained once and reused, at the lowest peak memory of the methods we carried to atlas scale (6.1 vs. 13.2 GB for the linear pipeline at 49k cells). No part of this workflow is exclusive to actinn-jax: ProtoCloud provides uncertainty, gene attribution and a retraining-based refinement path, and Pan-human Azimuth ships a pretrained, calibrated, hierarchical pan-human annotator that runs on a laptop — a better-resourced broad pass than ours, and one we can distill into a broad-pass model of comparable accuracy at 6–9× its throughput, built with no GPU and no labeled data. What the workflow adds is the hand-off into a label set the broad model was never trained on: refinement against a user’s own focused reference, and resolution below any fixed typology’s leaves.</vt:lpwstr>
  </property>
  <property fmtid="{D5CDD505-2E9C-101B-9397-08002B2CF9AE}" pid="3" name="date">
    <vt:lpwstr/>
  </property>
</Properties>
</file>