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15.png" ContentType="image/png"/>
  <Override PartName="/word/media/rId21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p>
      <w:pPr>
        <w:pStyle w:val="BodyText"/>
      </w:pPr>
      <w:r>
        <w:rPr>
          <w:i/>
          <w:iCs/>
        </w:rPr>
        <w:t xml:space="preserve">Supplement to</w:t>
      </w:r>
      <w:r>
        <w:rPr>
          <w:i/>
          <w:iCs/>
        </w:rPr>
        <w:t xml:space="preserve"> </w:t>
      </w:r>
      <w:r>
        <w:rPr>
          <w:i/>
          <w:iCs/>
        </w:rPr>
        <w:t xml:space="preserve">“Annotating single-cell data on a laptop”</w:t>
      </w:r>
      <w:r>
        <w:rPr>
          <w:i/>
          <w:iCs/>
        </w:rPr>
        <w:t xml:space="preserve">. Figures and tables referenced from</w:t>
      </w:r>
      <w:r>
        <w:rPr>
          <w:i/>
          <w:iCs/>
        </w:rPr>
        <w:t xml:space="preserve"> </w:t>
      </w:r>
      <w:r>
        <w:rPr>
          <w:i/>
          <w:iCs/>
        </w:rPr>
        <w:t xml:space="preserve">the main text as Supplementary Figure S1–S5 and Supplementary Table S1–S3.</w:t>
      </w:r>
    </w:p>
    <w:bookmarkStart w:id="24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3344986"/>
            <wp:effectExtent b="0" l="0" r="0" t="0"/>
            <wp:docPr descr="confusion matrices" title="" id="1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fu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Confusion matrices for the broad and focused passes on the withheld</w:t>
      </w:r>
      <w:r>
        <w:t xml:space="preserve"> </w:t>
      </w:r>
      <w:r>
        <w:t xml:space="preserve">cross-study liver query. Each cell is the fraction of a true type receiving that label;</w:t>
      </w:r>
      <w:r>
        <w:t xml:space="preserve"> </w:t>
      </w:r>
      <w:r>
        <w:t xml:space="preserve">outlined cells are off-diagonal calls that are an ancestor or descendant of the truth in the</w:t>
      </w:r>
      <w:r>
        <w:t xml:space="preserve"> </w:t>
      </w:r>
      <w:r>
        <w:t xml:space="preserve">Cell Ontology, i.e. error under exact match and credit under ontology-aware concordance. The</w:t>
      </w:r>
      <w:r>
        <w:t xml:space="preserve"> </w:t>
      </w:r>
      <w:r>
        <w:t xml:space="preserve">broad pass scores 0.12 exact on the shown cells and recovers +0.22 through the ontology —</w:t>
      </w:r>
      <w:r>
        <w:t xml:space="preserve"> </w:t>
      </w:r>
      <w:r>
        <w:t xml:space="preserve">its mistakes are the right lineage at the wrong depth (hepatocyte → midzonal or</w:t>
      </w:r>
      <w:r>
        <w:t xml:space="preserve"> </w:t>
      </w:r>
      <w:r>
        <w:t xml:space="preserve">centrilobular hepatocyte; NK cell → hepatic pit cell, the Cell Ontology term for a liver NK</w:t>
      </w:r>
      <w:r>
        <w:t xml:space="preserve"> </w:t>
      </w:r>
      <w:r>
        <w:t xml:space="preserve">cell). The focused pass is 0.63 exact, +0.05.</w:t>
      </w:r>
    </w:p>
    <w:p>
      <w:pPr>
        <w:pStyle w:val="BodyText"/>
      </w:pPr>
      <w:r>
        <w:drawing>
          <wp:inline>
            <wp:extent cx="5334000" cy="2130714"/>
            <wp:effectExtent b="0" l="0" r="0" t="0"/>
            <wp:docPr descr="abstain trade-off" title="" id="1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0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Abstention with 9 of 36 liver cell types withheld from the reference, so 1,350</w:t>
      </w:r>
      <w:r>
        <w:t xml:space="preserve"> </w:t>
      </w:r>
      <w:r>
        <w:t xml:space="preserve">query cells are genuinely out of distribution.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accuracy on kept cells against</w:t>
      </w:r>
      <w:r>
        <w:t xml:space="preserve"> </w:t>
      </w:r>
      <w:r>
        <w:t xml:space="preserve">coverage.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the fraction of held-out-type cells flagged as the threshold rises.</w:t>
      </w:r>
      <w:r>
        <w:t xml:space="preserve"> </w:t>
      </w:r>
      <w:r>
        <w:t xml:space="preserve">actinn-jax traces a usable curve on both axes; CellTypist’s probabilities are saturated, so</w:t>
      </w:r>
      <w:r>
        <w:t xml:space="preserve"> </w:t>
      </w:r>
      <w:r>
        <w:t xml:space="preserve">thresholds from 0.3 to 0.9 land on a single operating point and its novel-cell detection is</w:t>
      </w:r>
      <w:r>
        <w:t xml:space="preserve"> </w:t>
      </w:r>
      <w:r>
        <w:t xml:space="preserve">flat from 0.3 onward.</w:t>
      </w:r>
    </w:p>
    <w:p>
      <w:pPr>
        <w:pStyle w:val="BodyText"/>
      </w:pPr>
      <w:r>
        <w:drawing>
          <wp:inline>
            <wp:extent cx="5334000" cy="3641513"/>
            <wp:effectExtent b="0" l="0" r="0" t="0"/>
            <wp:docPr descr="per-class recall, blood and gut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lood_gut_intr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1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Per-class recall for eleven methods on the 86-type blood+gut split, ordered by</w:t>
      </w:r>
      <w:r>
        <w:t xml:space="preserve"> </w:t>
      </w:r>
      <w:r>
        <w:t xml:space="preserve">how much the methods disagree (best minus worst recall, right-hand strip). The best and worst</w:t>
      </w:r>
      <w:r>
        <w:t xml:space="preserve"> </w:t>
      </w:r>
      <w:r>
        <w:t xml:space="preserve">method differ by a median of 0.30 recall per class and up to 0.73; mean pairwise Spearman</w:t>
      </w:r>
      <w:r>
        <w:t xml:space="preserve"> </w:t>
      </w:r>
      <w:r>
        <w:t xml:space="preserve">between methods’ per-class recall is 0.58. Class size is not the explanation — the test split</w:t>
      </w:r>
      <w:r>
        <w:t xml:space="preserve"> </w:t>
      </w:r>
      <w:r>
        <w:t xml:space="preserve">is capped per label at 14–30 cells for all 86 classes, and the ten smallest classes score</w:t>
      </w:r>
      <w:r>
        <w:t xml:space="preserve"> </w:t>
      </w:r>
      <w:r>
        <w:t xml:space="preserve">slightly higher than the ten largest (0.865 vs 0.827).</w:t>
      </w:r>
    </w:p>
    <w:p>
      <w:pPr>
        <w:pStyle w:val="BodyText"/>
      </w:pPr>
      <w:r>
        <w:drawing>
          <wp:inline>
            <wp:extent cx="5334000" cy="3680721"/>
            <wp:effectExtent b="0" l="0" r="0" t="0"/>
            <wp:docPr descr="per-class recall, lung" title="" id="1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ung_intr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0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Per-class recall on the 46-type lung split. Mean pairwise Spearman 0.65;</w:t>
      </w:r>
      <w:r>
        <w:t xml:space="preserve"> </w:t>
      </w:r>
      <w:r>
        <w:t xml:space="preserve">median best-minus-worst 0.16.</w:t>
      </w:r>
    </w:p>
    <w:p>
      <w:pPr>
        <w:pStyle w:val="BodyText"/>
      </w:pPr>
      <w:r>
        <w:drawing>
          <wp:inline>
            <wp:extent cx="5334000" cy="3829399"/>
            <wp:effectExtent b="0" l="0" r="0" t="0"/>
            <wp:docPr descr="per-class recall, liver" title="" id="22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iver_intr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9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S5.</w:t>
      </w:r>
      <w:r>
        <w:t xml:space="preserve"> </w:t>
      </w:r>
      <w:r>
        <w:t xml:space="preserve">Per-class recall on the 36-type liver split. Mean pairwise Spearman 0.66;</w:t>
      </w:r>
      <w:r>
        <w:t xml:space="preserve"> </w:t>
      </w:r>
      <w:r>
        <w:t xml:space="preserve">median best-minus-worst 0.43 — the widest disagreement of the three splits.</w:t>
      </w:r>
    </w:p>
    <w:bookmarkEnd w:id="24"/>
    <w:bookmarkStart w:id="25" w:name="supplementary-tables"/>
    <w:p>
      <w:pPr>
        <w:pStyle w:val="Heading1"/>
      </w:pPr>
      <w:r>
        <w:t xml:space="preserve">Supplementary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[Ma &amp; Pellegrini 2020]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[Domínguez Conde 2022]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[Pedregosa 2011] 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[Yampolskaya 2023]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[Aran 2019]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[Kiselev 2018]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[Xu 2021]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[Lotfollahi 2022]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[Guo &amp; Ding 2026]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[Kalfon 2025]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r>
              <w:t xml:space="preserve">[Sarkar et al. 2026]</w:t>
            </w:r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runs, whether</w:t>
      </w:r>
      <w:r>
        <w:t xml:space="preserve"> </w:t>
      </w:r>
      <w:r>
        <w:t xml:space="preserve">it can decline to call a cell (</w:t>
      </w:r>
      <w:r>
        <w:rPr>
          <w:i/>
          <w:iCs/>
        </w:rPr>
        <w:t xml:space="preserve">rejection</w:t>
      </w:r>
      <w:r>
        <w:t xml:space="preserve">), and the runtime stack it was run 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[Travaglini 2020]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[Sikkema 2023] → [Travaglini 2020]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[Alegbe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[10x Genomics 2016]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The six benchmark datasets.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 holdouts from</w:t>
      </w:r>
      <w:r>
        <w:t xml:space="preserve"> </w:t>
      </w:r>
      <w:r>
        <w:t xml:space="preserve">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 keyed by</w:t>
      </w:r>
      <w:r>
        <w:t xml:space="preserve"> </w:t>
      </w:r>
      <w:r>
        <w:t xml:space="preserve">Ensembl ids or gene symbols.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0.931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</w:t>
      </w:r>
      <w:r>
        <w:t xml:space="preserve"> </w:t>
      </w:r>
      <w:r>
        <w:t xml:space="preserve">the meaningful column.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1" Target="media/rId21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>Ian Driver</dc:creator>
  <cp:keywords/>
  <dcterms:created xsi:type="dcterms:W3CDTF">2026-08-09T18:50:06Z</dcterms:created>
  <dcterms:modified xsi:type="dcterms:W3CDTF">2026-08-09T18:50:06Z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date">
    <vt:lpwstr/>
  </property>
</Properties>
</file>