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 Open Problems</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 into a tier-1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(§3.8)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A twelfth method is a cost.</w:t>
      </w:r>
      <w:r>
        <w:t xml:space="preserve"> </w:t>
      </w:r>
      <w:r>
        <w:t xml:space="preserve">Adding one more entry to a crowded field is not by itself a</w:t>
      </w:r>
      <w:r>
        <w:t xml:space="preserve"> </w:t>
      </w:r>
      <w:r>
        <w:t xml:space="preserve">service to it ([xkcd 927]). actinn-jax exists because the original ACTINN no longer installs</w:t>
      </w:r>
      <w:r>
        <w:t xml:space="preserve"> </w:t>
      </w:r>
      <w:r>
        <w:t xml:space="preserve">or runs on current toolchains, not because the field lacked a classifier, and nothing here</w:t>
      </w:r>
      <w:r>
        <w:t xml:space="preserve"> </w:t>
      </w:r>
      <w:r>
        <w:t xml:space="preserve">argues that it should displace the methods it is measured against — on accuracy it sits</w:t>
      </w:r>
      <w:r>
        <w:t xml:space="preserve"> </w:t>
      </w:r>
      <w:r>
        <w:t xml:space="preserve">inside a five-way cluster that it does not lead. What we think is worth adding is the</w:t>
      </w:r>
      <w:r>
        <w:t xml:space="preserve"> </w:t>
      </w:r>
      <w:r>
        <w:t xml:space="preserve">comparison itself, the cost axes it reports, and a workflow that composes existing pieces;</w:t>
      </w:r>
      <w:r>
        <w:t xml:space="preserve"> </w:t>
      </w:r>
      <w:r>
        <w:t xml:space="preserve">where a better-resourced model already exists, the productive move is to build on it rather</w:t>
      </w:r>
      <w:r>
        <w:t xml:space="preserve"> </w:t>
      </w:r>
      <w:r>
        <w:t xml:space="preserve">than to compete with it (§3.5).</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 that</w:t>
      </w:r>
      <w:r>
        <w:t xml:space="preserve"> </w:t>
      </w:r>
      <w:r>
        <w:t xml:space="preserve">model into a tier-1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3"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1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tier-1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tier-1 abstain</w:t>
      </w:r>
      <w:r>
        <w:t xml:space="preserve"> </w:t>
      </w:r>
      <w:r>
        <w:t xml:space="preserve">of §3.6 belongs to the census-built reference until this one is recalibrated.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as tier 1 lifts the broad pass</w:t>
      </w:r>
      <w:r>
        <w:t xml:space="preserve"> </w:t>
      </w:r>
      <w:r>
        <w:t xml:space="preserve">(ontology 0.380 vs 0.338 for our own broad model) but changes nothing downstream. Using that</w:t>
      </w:r>
      <w:r>
        <w:t xml:space="preserve"> </w:t>
      </w:r>
      <w:r>
        <w:t xml:space="preserve">tier-1 call to</w:t>
      </w:r>
      <w:r>
        <w:t xml:space="preserve"> </w:t>
      </w:r>
      <w:r>
        <w:rPr>
          <w:i/>
          <w:iCs/>
        </w:rPr>
        <w:t xml:space="preserve">narrow</w:t>
      </w:r>
      <w:r>
        <w:t xml:space="preserve"> </w:t>
      </w:r>
      <w:r>
        <w:t xml:space="preserve">tier 2’s classes — the zero-retrain masking actinn-jax ships — makes</w:t>
      </w:r>
      <w:r>
        <w:t xml:space="preserve"> </w:t>
      </w:r>
      <w:r>
        <w:t xml:space="preserve">the result</w:t>
      </w:r>
      <w:r>
        <w:t xml:space="preserve"> </w:t>
      </w:r>
      <w:r>
        <w:rPr>
          <w:b/>
          <w:bCs/>
        </w:rPr>
        <w:t xml:space="preserve">worse</w:t>
      </w:r>
      <w:r>
        <w:t xml:space="preserve">, 0.731 → 0.708: tier 1’s coarse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tier 2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2"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35">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7" name="Picture"/>
            <a:graphic>
              <a:graphicData uri="http://schemas.openxmlformats.org/drawingml/2006/picture">
                <pic:pic>
                  <pic:nvPicPr>
                    <pic:cNvPr descr="/Users/iandriver/Downloads/actinn-jax-benchmark/docs/figures/gene_budget_curve.png" id="38" name="Picture"/>
                    <pic:cNvPicPr>
                      <a:picLocks noChangeArrowheads="1" noChangeAspect="1"/>
                    </pic:cNvPicPr>
                  </pic:nvPicPr>
                  <pic:blipFill>
                    <a:blip r:embed="rId36"/>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40" name="Picture"/>
            <a:graphic>
              <a:graphicData uri="http://schemas.openxmlformats.org/drawingml/2006/picture">
                <pic:pic>
                  <pic:nvPicPr>
                    <pic:cNvPr descr="/Users/iandriver/Downloads/actinn-jax-benchmark/docs/figures/gene_budget_signals.png" id="41" name="Picture"/>
                    <pic:cNvPicPr>
                      <a:picLocks noChangeArrowheads="1" noChangeAspect="1"/>
                    </pic:cNvPicPr>
                  </pic:nvPicPr>
                  <pic:blipFill>
                    <a:blip r:embed="rId39"/>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2"/>
    <w:bookmarkEnd w:id="43"/>
    <w:bookmarkStart w:id="44"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tier-1 model of comparable accuracy at roughly nine times its throughput, built</w:t>
      </w:r>
      <w:r>
        <w:t xml:space="preserve"> </w:t>
      </w:r>
      <w:r>
        <w:t xml:space="preserve">without a GPU and without labeled data (§3.5).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tier-1 reference from a labeled census slice, as §3.5’s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44"/>
    <w:bookmarkStart w:id="45"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(§3.8)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distilled tier-1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(§3.5).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5"/>
    <w:bookmarkStart w:id="50"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6">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tier-1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w:t>
      </w:r>
      <w:r>
        <w:t xml:space="preserve">and ships as</w:t>
      </w:r>
      <w:r>
        <w:t xml:space="preserve"> </w:t>
      </w:r>
      <w:r>
        <w:rPr>
          <w:rStyle w:val="VerbatimChar"/>
        </w:rPr>
        <w:t xml:space="preserve">actinn_jax.bundled_reference("panhuman_distill_v1")</w:t>
      </w:r>
      <w:r>
        <w:t xml:space="preserv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47">
        <w:r>
          <w:rPr>
            <w:rStyle w:val="Hyperlink"/>
          </w:rPr>
          <w:t xml:space="preserve">doi:10.64898/2026.07.16.738997</w:t>
        </w:r>
      </w:hyperlink>
      <w:r>
        <w:t xml:space="preserve">); its weights are</w:t>
      </w:r>
      <w:r>
        <w:t xml:space="preserve"> </w:t>
      </w:r>
      <w:r>
        <w:t xml:space="preserve">© the authors under</w:t>
      </w:r>
      <w:r>
        <w:t xml:space="preserve"> </w:t>
      </w:r>
      <w:hyperlink r:id="rId4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49">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50"/>
    <w:bookmarkStart w:id="51" w:name="references"/>
    <w:p>
      <w:pPr>
        <w:pStyle w:val="Heading1"/>
      </w:pPr>
      <w:r>
        <w:t xml:space="preserve">References</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2"/>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2"/>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2"/>
        </w:numPr>
      </w:pPr>
      <w:r>
        <w:t xml:space="preserve">Open Problems for Single-Cell Analysis Consortium. Open Problems: a living benchmark for single-cell analysis. openproblems.bio (2024).</w:t>
      </w:r>
    </w:p>
    <w:p>
      <w:pPr>
        <w:pStyle w:val="Compact"/>
        <w:numPr>
          <w:ilvl w:val="0"/>
          <w:numId w:val="1002"/>
        </w:numPr>
      </w:pPr>
      <w:r>
        <w:t xml:space="preserve">Bradbury J, et al. JAX: composable transformations of Python+NumPy programs (2018). github.com/google/jax.</w:t>
      </w:r>
    </w:p>
    <w:p>
      <w:pPr>
        <w:pStyle w:val="Compact"/>
        <w:numPr>
          <w:ilvl w:val="0"/>
          <w:numId w:val="1002"/>
        </w:numPr>
      </w:pPr>
      <w:r>
        <w:t xml:space="preserve">Edgar R, et al. The Human Liver Cell Atlas (HLiCA). doi:10.64898/2026.06.30.735539.</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2"/>
        </w:numPr>
      </w:pPr>
      <w:r>
        <w:t xml:space="preserve">Yampolskaya M, Souza H, et al. scTOP: cell identity from single-cell data via parameter-free projection. github.com/Emergent-Behaviors-in-Biology/scTOP.</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2"/>
        </w:numPr>
      </w:pPr>
      <w:r>
        <w:t xml:space="preserve">Munroe R. Standards.</w:t>
      </w:r>
      <w:r>
        <w:t xml:space="preserve"> </w:t>
      </w:r>
      <w:r>
        <w:rPr>
          <w:i/>
          <w:iCs/>
        </w:rPr>
        <w:t xml:space="preserve">xkcd</w:t>
      </w:r>
      <w:r>
        <w:t xml:space="preserve"> </w:t>
      </w:r>
      <w:r>
        <w:t xml:space="preserve">927. xkcd.com/927.</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48" Target="https://creativecommons.org/licenses/by/4.0/" TargetMode="External" /><Relationship Type="http://schemas.openxmlformats.org/officeDocument/2006/relationships/hyperlink" Id="rId49" Target="https://doi.org/10.5281/zenodo.20401417" TargetMode="External" /><Relationship Type="http://schemas.openxmlformats.org/officeDocument/2006/relationships/hyperlink" Id="rId47" Target="https://doi.org/10.64898/2026.07.16.738997" TargetMode="External"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48" Target="https://creativecommons.org/licenses/by/4.0/" TargetMode="External" /><Relationship Type="http://schemas.openxmlformats.org/officeDocument/2006/relationships/hyperlink" Id="rId49" Target="https://doi.org/10.5281/zenodo.20401417" TargetMode="External" /><Relationship Type="http://schemas.openxmlformats.org/officeDocument/2006/relationships/hyperlink" Id="rId47" Target="https://doi.org/10.64898/2026.07.16.738997" TargetMode="External"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2026-07-28T19:31:37Z</dcterms:created>
  <dcterms:modified xsi:type="dcterms:W3CDTF">2026-07-28T19:31:37Z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 into a tier-1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