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0.png" ContentType="image/png"/>
  <Override PartName="/word/media/rId55.png" ContentType="image/png"/>
  <Override PartName="/word/media/rId48.png" ContentType="image/png"/>
  <Override PartName="/word/media/rId65.png" ContentType="image/png"/>
  <Override PartName="/word/media/rId58.png" ContentType="image/png"/>
  <Override PartName="/word/media/rId52.png" ContentType="image/png"/>
  <Override PartName="/word/media/rId62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(§3.7) sets the datasets, the metrics and</w:t>
      </w:r>
      <w:r>
        <w:t xml:space="preserve"> </w:t>
      </w:r>
      <w:r>
        <w:t xml:space="preserve">the ranking, and we did not choose any of them. Where results contradict our own earlier</w:t>
      </w:r>
      <w:r>
        <w:t xml:space="preserve"> </w:t>
      </w:r>
      <w:r>
        <w:t xml:space="preserve">claims or our method’s interests — ProtoCloud overtaking actinn-jax at atlas scale, a memory</w:t>
      </w:r>
      <w:r>
        <w:t xml:space="preserve"> </w:t>
      </w:r>
      <w:r>
        <w:t xml:space="preserve">advantage that stays a fixed factor instead of growing with the data, a better-resourced broad</w:t>
      </w:r>
      <w:r>
        <w:t xml:space="preserve"> </w:t>
      </w:r>
      <w:r>
        <w:t xml:space="preserve">annotator than our own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§3.4 practical on a laptop. A field already full of working</w:t>
      </w:r>
      <w:r>
        <w:t xml:space="preserve"> </w:t>
      </w:r>
      <w:r>
        <w:t xml:space="preserve">methods (</w:t>
      </w:r>
      <w:hyperlink r:id="rId11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(§3.4).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2"/>
    <w:bookmarkStart w:id="46" w:name="methods"/>
    <w:p>
      <w:pPr>
        <w:pStyle w:val="Heading1"/>
      </w:pPr>
      <w:r>
        <w:t xml:space="preserve">Methods</w:t>
      </w:r>
    </w:p>
    <w:bookmarkStart w:id="15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3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(§3.7).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5"/>
    <w:bookmarkStart w:id="26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§3.4.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§3.6 (foundation-model zero-shot) and §3.4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6"/>
    <w:bookmarkStart w:id="3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 [Jorstad 2023], the same query used in the multi-reference agreement experiment of</w:t>
      </w:r>
      <w:r>
        <w:t xml:space="preserve"> </w:t>
      </w:r>
      <w:r>
        <w:t xml:space="preserve">§3.4.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§3.4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2"/>
    <w:bookmarkStart w:id="34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This is not a hypothetical concern:</w:t>
      </w:r>
      <w:r>
        <w:t xml:space="preserve"> </w:t>
      </w:r>
      <w:r>
        <w:t xml:space="preserve">re-running lung_cross against a later-fetched release reproduced the splits exactly (14,390</w:t>
      </w:r>
      <w:r>
        <w:t xml:space="preserve"> </w:t>
      </w:r>
      <w:r>
        <w:t xml:space="preserve">reference / 13,550 query cells) and still moved 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4"/>
    <w:bookmarkStart w:id="35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§3.7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5"/>
    <w:bookmarkStart w:id="37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(§3.4)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6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§3.4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7"/>
    <w:bookmarkStart w:id="38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38"/>
    <w:bookmarkStart w:id="39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39"/>
    <w:bookmarkStart w:id="40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(§3.3,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(§3.3,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(§3.3,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0"/>
    <w:bookmarkStart w:id="42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1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(§3.1–§3.5) runs on the Apple Silicon laptop described in §2.5. The Open Problems results</w:t>
      </w:r>
      <w:r>
        <w:t xml:space="preserve"> </w:t>
      </w:r>
      <w:r>
        <w:t xml:space="preserve">(§3.7)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9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2"/>
    <w:bookmarkStart w:id="45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3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4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5"/>
    <w:bookmarkEnd w:id="46"/>
    <w:bookmarkStart w:id="87" w:name="results"/>
    <w:p>
      <w:pPr>
        <w:pStyle w:val="Heading1"/>
      </w:pPr>
      <w:r>
        <w:t xml:space="preserve">Results</w:t>
      </w:r>
    </w:p>
    <w:bookmarkStart w:id="47" w:name="accuracy-and-cost"/>
    <w:p>
      <w:pPr>
        <w:pStyle w:val="Heading2"/>
      </w:pPr>
      <w:r>
        <w:t xml:space="preserve">Accuracy and cost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5,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5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That accuracy span is not a ranking and should not be read as one: the</w:t>
      </w:r>
      <w:r>
        <w:t xml:space="preserve"> </w:t>
      </w:r>
      <w:r>
        <w:t xml:space="preserve">stochastic methods move further than 0.008 between identical reruns on their own — scANVI by</w:t>
      </w:r>
      <w:r>
        <w:t xml:space="preserve"> </w:t>
      </w:r>
      <w:r>
        <w:t xml:space="preserve">up to 0.056 across its three repeats — so which of the top four places second and which places</w:t>
      </w:r>
      <w:r>
        <w:t xml:space="preserve"> </w:t>
      </w:r>
      <w:r>
        <w:t xml:space="preserve">third is decided by seeds, not by method.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(§3.3).</w:t>
      </w:r>
    </w:p>
    <w:p>
      <w:pPr>
        <w:pStyle w:val="BodyText"/>
      </w:pPr>
      <w:r>
        <w:rPr>
          <w:b/>
          <w:bCs/>
        </w:rPr>
        <w:t xml:space="preserve">Pretrained annotators, scored ontology-only.</w:t>
      </w:r>
      <w:r>
        <w:t xml:space="preserve"> </w:t>
      </w:r>
      <w:r>
        <w:t xml:space="preserve">The two methods with fixed label vocabularies</w:t>
      </w:r>
      <w:r>
        <w:t xml:space="preserve"> </w:t>
      </w:r>
      <w:r>
        <w:t xml:space="preserve">(§2.2, §2.4) cannot appear in Table 3, since they do not predict the dataset’s label</w:t>
      </w:r>
      <w:r>
        <w:t xml:space="preserve"> </w:t>
      </w:r>
      <w:r>
        <w:t xml:space="preserve">strings. They are scored by ontology concordance on the three datasets where reference and query</w:t>
      </w:r>
      <w:r>
        <w:t xml:space="preserve"> </w:t>
      </w:r>
      <w:r>
        <w:t xml:space="preserve">both carry CL ids and share a vocabulary, with 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Not a like-for-like comparison; see the text below.</w:t>
      </w:r>
    </w:p>
    <w:p>
      <w:pPr>
        <w:pStyle w:val="BodyText"/>
      </w:pPr>
      <w:r>
        <w:rPr>
          <w:b/>
          <w:bCs/>
        </w:rPr>
        <w:t xml:space="preserve">This is not a like-for-like comparison and should not be read as one.</w:t>
      </w:r>
      <w:r>
        <w:t xml:space="preserve"> </w:t>
      </w:r>
      <w:r>
        <w:t xml:space="preserve">actinn-jax is trained</w:t>
      </w:r>
      <w:r>
        <w:t xml:space="preserve"> </w:t>
      </w:r>
      <w:r>
        <w:t xml:space="preserve">on a reference drawn from the same data and scored in its own vocabulary; Pan-human Azimuth has</w:t>
      </w:r>
      <w:r>
        <w:t xml:space="preserve"> </w:t>
      </w:r>
      <w:r>
        <w:t xml:space="preserve">never seen these datasets and answers in a different one. A reference-trained model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win. What the block does establish is the distance between a curated supervised annotator and a</w:t>
      </w:r>
      <w:r>
        <w:t xml:space="preserve"> </w:t>
      </w:r>
      <w:r>
        <w:t xml:space="preserve">zero-shot foundation head — 0.700 against 0.201 on lung — and it sets up §3.4, where Azimuth</w:t>
      </w:r>
      <w:r>
        <w:t xml:space="preserve"> </w:t>
      </w:r>
      <w:r>
        <w:t xml:space="preserve">serves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(§3.3),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47"/>
    <w:bookmarkStart w:id="51" w:name="the-accuracy-speed-frontier"/>
    <w:p>
      <w:pPr>
        <w:pStyle w:val="Heading2"/>
      </w:pPr>
      <w:r>
        <w:t xml:space="preserve">The accuracy × speed frontier</w:t>
      </w:r>
    </w:p>
    <w:p>
      <w:pPr>
        <w:pStyle w:val="FirstParagraph"/>
      </w:pPr>
      <w:r>
        <w:drawing>
          <wp:inline>
            <wp:extent cx="5334000" cy="2668748"/>
            <wp:effectExtent b="0" l="0" r="0" t="0"/>
            <wp:docPr descr="accuracy and cost across every split" title="" id="4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§3.3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1"/>
    <w:bookmarkStart w:id="61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5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is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should not be read onto this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caveats on measurement, both of which caught us. Prediction in our linear adapter blocks</w:t>
      </w:r>
      <w:r>
        <w:t xml:space="preserve"> </w:t>
      </w:r>
      <w:r>
        <w:t xml:space="preserve">the query into 50,000-cell chunks; unblocked it densifies 20,000 genes for the whole query at</w:t>
      </w:r>
      <w:r>
        <w:t xml:space="preserve"> </w:t>
      </w:r>
      <w:r>
        <w:t xml:space="preserve">once, which needs roughly 126 GB at the full atlas and does not complete on a 51 GB machine.</w:t>
      </w:r>
      <w:r>
        <w:t xml:space="preserve"> </w:t>
      </w:r>
      <w:r>
        <w:t xml:space="preserve">That is a property of a wrapper rather than of the recipe, and an earlier draft of this figure</w:t>
      </w:r>
      <w:r>
        <w:t xml:space="preserve"> </w:t>
      </w:r>
      <w:r>
        <w:t xml:space="preserve">reported the resulting non-completion as if it characterised the method. Blocking leaves every</w:t>
      </w:r>
      <w:r>
        <w:t xml:space="preserve"> </w:t>
      </w:r>
      <w:r>
        <w:t xml:space="preserve">prediction bit-identical, and is verified to. Second, these are laptop numbers, so each point</w:t>
      </w:r>
      <w:r>
        <w:t xml:space="preserve"> </w:t>
      </w:r>
      <w:r>
        <w:t xml:space="preserve">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5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1"/>
    <w:bookmarkStart w:id="69" w:name="the-broadfocused-annotation-workflow"/>
    <w:p>
      <w:pPr>
        <w:pStyle w:val="Heading2"/>
      </w:pPr>
      <w:r>
        <w:t xml:space="preserve">The broad→focused annotation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§3.3),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§3.5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(§3.5).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(below). An earlier</w:t>
      </w:r>
      <w:r>
        <w:t xml:space="preserve"> </w:t>
      </w:r>
      <w:r>
        <w:t xml:space="preserve">version of this table put the teacher at 0.380, which was an artefact of our own cache: the</w:t>
      </w:r>
      <w:r>
        <w:t xml:space="preserve"> </w:t>
      </w:r>
      <w:r>
        <w:t xml:space="preserve">dump it was scored from carried a Cell Ontology id for only 90.5% of its calls, and an</w:t>
      </w:r>
      <w:r>
        <w:t xml:space="preserve"> </w:t>
      </w:r>
      <w:r>
        <w:t xml:space="preserve">unmapped call scores as wrong. Run through the adapter directly it maps 99.9% and scores</w:t>
      </w:r>
      <w:r>
        <w:t xml:space="preserve"> </w:t>
      </w:r>
      <w:r>
        <w:t xml:space="preserve">0.408, level with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§3.5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The broad pass hands the query to the focused pass; the two do not combine.</w:t>
      </w:r>
      <w:r>
        <w:t xml:space="preserve"> </w:t>
      </w:r>
      <w:r>
        <w:t xml:space="preserve">The natural</w:t>
      </w:r>
      <w:r>
        <w:t xml:space="preserve"> </w:t>
      </w:r>
      <w:r>
        <w:t xml:space="preserve">assumption is that a better broad call should also make the focused call better. It does not.</w:t>
      </w:r>
      <w:r>
        <w:t xml:space="preserve"> </w:t>
      </w:r>
      <w:r>
        <w:t xml:space="preserve">On the leakage-free cross-study</w:t>
      </w:r>
      <w:r>
        <w:t xml:space="preserve"> </w:t>
      </w:r>
      <w:r>
        <w:t xml:space="preserve">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 lifts it</w:t>
      </w:r>
      <w:r>
        <w:t xml:space="preserve"> </w:t>
      </w:r>
      <w:r>
        <w:t xml:space="preserve">(ontology 0.408 vs 0.338 for our own broad model) but changes nothing downstream.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6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7),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 — the accuracies come from different queries and should not be read</w:t>
      </w:r>
      <w:r>
        <w:t xml:space="preserve"> </w:t>
      </w:r>
      <w:r>
        <w:t xml:space="preserve">head-to-head.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A better rule may exist; what the experiment</w:t>
      </w:r>
      <w:r>
        <w:t xml:space="preserve"> </w:t>
      </w:r>
      <w:r>
        <w:t xml:space="preserve">establishes is that the</w:t>
      </w:r>
      <w:r>
        <w:t xml:space="preserve"> </w:t>
      </w:r>
      <w:r>
        <w:rPr>
          <w:i/>
          <w:iCs/>
        </w:rPr>
        <w:t xml:space="preserve">partition</w:t>
      </w:r>
      <w:r>
        <w:t xml:space="preserve"> </w:t>
      </w:r>
      <w:r>
        <w:t xml:space="preserve">carries the information and the label does not.</w:t>
      </w:r>
    </w:p>
    <w:p>
      <w:pPr>
        <w:pStyle w:val="BodyText"/>
      </w:pPr>
      <w:r>
        <w:rPr>
          <w:b/>
          <w:bCs/>
        </w:rPr>
        <w:t xml:space="preserve">What counts as agreement is the ontology’s judgment, not ours.</w:t>
      </w:r>
      <w:r>
        <w:t xml:space="preserve"> </w:t>
      </w:r>
      <w:r>
        <w:t xml:space="preserve">The relation above is</w:t>
      </w:r>
      <w:r>
        <w:t xml:space="preserve"> </w:t>
      </w:r>
      <w:r>
        <w:t xml:space="preserve">inherited wholesale from the Cell Ontology: two calls agree when CL says one subsumes the</w:t>
      </w:r>
      <w:r>
        <w:t xml:space="preserve"> </w:t>
      </w:r>
      <w:r>
        <w:t xml:space="preserve">other.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68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69"/>
    <w:bookmarkStart w:id="76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§3.4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76"/>
    <w:bookmarkStart w:id="77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77"/>
    <w:bookmarkStart w:id="8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78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79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§3.6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 (Figure 9).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(Figure 10)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BodyText"/>
      </w:pPr>
      <w:r>
        <w:drawing>
          <wp:inline>
            <wp:extent cx="5334000" cy="2139510"/>
            <wp:effectExtent b="0" l="0" r="0" t="0"/>
            <wp:docPr descr="gene budget curve" title="" id="8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actinn-jax accuracy and macro-F1 against input gene budget across all six Open</w:t>
      </w:r>
      <w:r>
        <w:t xml:space="preserve"> </w:t>
      </w:r>
      <w:r>
        <w:t xml:space="preserve">Problems 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8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86"/>
    <w:bookmarkEnd w:id="87"/>
    <w:bookmarkStart w:id="8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(§3.3)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(§3.4):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(§3.7),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§3.3),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8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(§3.7).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§3.5,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(§3.4).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§3.4’s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9"/>
    <w:bookmarkStart w:id="90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§3.7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9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(§3.4),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(§3.4).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(§3.3,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about, but it should not be read as a ranking at atlas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90"/>
    <w:bookmarkStart w:id="9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91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92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93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94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29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5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6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S1–S11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and the per-split view behind</w:t>
      </w:r>
      <w:r>
        <w:t xml:space="preserve"> </w:t>
      </w:r>
      <w:r>
        <w:t xml:space="preserve">Figure 1 — and Tables S1–S3, the method and dataset descriptions and per-dataset accuracy.</w:t>
      </w:r>
    </w:p>
    <w:bookmarkEnd w:id="97"/>
    <w:bookmarkStart w:id="9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19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4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6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7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7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9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4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0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2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3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68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1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6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3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8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8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7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1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8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1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55" Target="media/rId55.png" /><Relationship Type="http://schemas.openxmlformats.org/officeDocument/2006/relationships/image" Id="rId48" Target="media/rId48.png" /><Relationship Type="http://schemas.openxmlformats.org/officeDocument/2006/relationships/image" Id="rId65" Target="media/rId65.png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2026-08-18T14:59:21Z</dcterms:created>
  <dcterms:modified xsi:type="dcterms:W3CDTF">2026-08-18T14:59:21Z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