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  <Override PartName="/word/media/rId72.png" ContentType="image/png"/>
  <Override PartName="/word/media/rId57.png" ContentType="image/png"/>
  <Override PartName="/word/media/rId50.png" ContentType="image/png"/>
  <Override PartName="/word/media/rId67.png" ContentType="image/png"/>
  <Override PartName="/word/media/rId60.png" ContentType="image/png"/>
  <Override PartName="/word/media/rId54.png" ContentType="image/png"/>
  <Override PartName="/word/media/rId64.png" ContentType="image/png"/>
  <Override PartName="/word/media/rId82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minutes-to-hours,</w:t>
      </w:r>
      <w:r>
        <w:t xml:space="preserve"> </w:t>
      </w:r>
      <w:r>
        <w:t xml:space="preserve">and used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they underperform far simpler alternatives: scPRINT’s zero-shot labels</w:t>
      </w:r>
      <w:r>
        <w:t xml:space="preserve"> </w:t>
      </w:r>
      <w:r>
        <w:t xml:space="preserve">score 0.201 ontology concordance on the lung split against 0.917 for a reference-trained model</w:t>
      </w:r>
      <w:r>
        <w:t xml:space="preserve"> </w:t>
      </w:r>
      <w:r>
        <w:t xml:space="preserve">on the same cells (§3.6), and an independent evaluation places Geneformer’s and scGPT’s</w:t>
      </w:r>
      <w:r>
        <w:t xml:space="preserve"> </w:t>
      </w:r>
      <w:r>
        <w:t xml:space="preserve">zero-shot embeddings behind scVI, Harmony and plain highly-variable-gene selection on</w:t>
      </w:r>
      <w:r>
        <w:t xml:space="preserve"> </w:t>
      </w:r>
      <w:r>
        <w:t xml:space="preserve">clustering and batch correction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(§3.7)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§3.4 practical on a laptop. A field already full of working</w:t>
      </w:r>
      <w:r>
        <w:t xml:space="preserve"> </w:t>
      </w:r>
      <w:r>
        <w:t xml:space="preserve">methods (</w:t>
      </w:r>
      <w:hyperlink r:id="rId12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(§3.4).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3"/>
    <w:bookmarkStart w:id="48" w:name="methods"/>
    <w:p>
      <w:pPr>
        <w:pStyle w:val="Heading1"/>
      </w:pPr>
      <w:r>
        <w:t xml:space="preserve">Methods</w:t>
      </w:r>
    </w:p>
    <w:bookmarkStart w:id="16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(§3.7).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6"/>
    <w:bookmarkStart w:id="27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§3.4.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§3.6 (foundation-model zero-shot) and §3.4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7"/>
    <w:bookmarkStart w:id="34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</w:t>
      </w:r>
      <w:r>
        <w:t xml:space="preserve"> </w:t>
      </w:r>
      <w:hyperlink r:id="rId33">
        <w:r>
          <w:rPr>
            <w:rStyle w:val="Hyperlink"/>
          </w:rPr>
          <w:t xml:space="preserve">[Jorstad 2023]</w:t>
        </w:r>
      </w:hyperlink>
      <w:r>
        <w:t xml:space="preserve">, the same query used in the multi-reference agreement experiment of</w:t>
      </w:r>
      <w:r>
        <w:t xml:space="preserve"> </w:t>
      </w:r>
      <w:r>
        <w:t xml:space="preserve">§3.4.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§3.4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4"/>
    <w:bookmarkStart w:id="36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6"/>
    <w:bookmarkStart w:id="37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§3.7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7"/>
    <w:bookmarkStart w:id="39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(§3.4)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8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§3.4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9"/>
    <w:bookmarkStart w:id="40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40"/>
    <w:bookmarkStart w:id="41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41"/>
    <w:bookmarkStart w:id="42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(§3.3,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(§3.3,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(§3.3,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2"/>
    <w:bookmarkStart w:id="44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3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(§3.1–§3.5) runs on the Apple Silicon laptop described in §2.5. The Open Problems results</w:t>
      </w:r>
      <w:r>
        <w:t xml:space="preserve"> </w:t>
      </w:r>
      <w:r>
        <w:t xml:space="preserve">(§3.7)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9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4"/>
    <w:bookmarkStart w:id="47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5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6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7"/>
    <w:bookmarkEnd w:id="48"/>
    <w:bookmarkStart w:id="89" w:name="results"/>
    <w:p>
      <w:pPr>
        <w:pStyle w:val="Heading1"/>
      </w:pPr>
      <w:r>
        <w:t xml:space="preserve">Results</w:t>
      </w:r>
    </w:p>
    <w:bookmarkStart w:id="49" w:name="accuracy-and-cost"/>
    <w:p>
      <w:pPr>
        <w:pStyle w:val="Heading2"/>
      </w:pPr>
      <w:r>
        <w:t xml:space="preserve">Accuracy and cost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5,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5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That accuracy span is not a ranking and should not be read as one: the</w:t>
      </w:r>
      <w:r>
        <w:t xml:space="preserve"> </w:t>
      </w:r>
      <w:r>
        <w:t xml:space="preserve">stochastic methods move further than 0.008 between identical reruns on their own — scANVI by</w:t>
      </w:r>
      <w:r>
        <w:t xml:space="preserve"> </w:t>
      </w:r>
      <w:r>
        <w:t xml:space="preserve">up to 0.056 across its three repeats — so which of the top four places second and which places</w:t>
      </w:r>
      <w:r>
        <w:t xml:space="preserve"> </w:t>
      </w:r>
      <w:r>
        <w:t xml:space="preserve">third is decided by seeds, not by method.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(§3.3).</w:t>
      </w:r>
    </w:p>
    <w:p>
      <w:pPr>
        <w:pStyle w:val="BodyText"/>
      </w:pPr>
      <w:r>
        <w:rPr>
          <w:b/>
          <w:bCs/>
        </w:rPr>
        <w:t xml:space="preserve">Pretrained annotators, scored ontology-only.</w:t>
      </w:r>
      <w:r>
        <w:t xml:space="preserve"> </w:t>
      </w:r>
      <w:r>
        <w:t xml:space="preserve">The two methods with fixed label vocabularies</w:t>
      </w:r>
      <w:r>
        <w:t xml:space="preserve"> </w:t>
      </w:r>
      <w:r>
        <w:t xml:space="preserve">(§2.2, §2.4) cannot appear in Table 3, since they do not predict the dataset’s label</w:t>
      </w:r>
      <w:r>
        <w:t xml:space="preserve"> </w:t>
      </w:r>
      <w:r>
        <w:t xml:space="preserve">strings. They are scored by ontology concordance on the three datasets where reference and query</w:t>
      </w:r>
      <w:r>
        <w:t xml:space="preserve"> </w:t>
      </w:r>
      <w:r>
        <w:t xml:space="preserve">both carry CL ids and share a vocabulary, with 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Not a like-for-like comparison; see the text below.</w:t>
      </w:r>
    </w:p>
    <w:p>
      <w:pPr>
        <w:pStyle w:val="BodyText"/>
      </w:pPr>
      <w:r>
        <w:rPr>
          <w:b/>
          <w:bCs/>
        </w:rPr>
        <w:t xml:space="preserve">This is not a like-for-like comparison and should not be read as one.</w:t>
      </w:r>
      <w:r>
        <w:t xml:space="preserve"> </w:t>
      </w:r>
      <w:r>
        <w:t xml:space="preserve">actinn-jax is trained</w:t>
      </w:r>
      <w:r>
        <w:t xml:space="preserve"> </w:t>
      </w:r>
      <w:r>
        <w:t xml:space="preserve">on a reference drawn from the same data and scored in its own vocabulary; Pan-human Azimuth has</w:t>
      </w:r>
      <w:r>
        <w:t xml:space="preserve"> </w:t>
      </w:r>
      <w:r>
        <w:t xml:space="preserve">never seen these datasets and answers in a different one. A reference-trained model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win. What the block does establish is the distance between a curated supervised annotator and a</w:t>
      </w:r>
      <w:r>
        <w:t xml:space="preserve"> </w:t>
      </w:r>
      <w:r>
        <w:t xml:space="preserve">zero-shot foundation head — 0.700 against 0.201 on lung — and it sets up §3.4, where Azimuth</w:t>
      </w:r>
      <w:r>
        <w:t xml:space="preserve"> </w:t>
      </w:r>
      <w:r>
        <w:t xml:space="preserve">serves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(§3.3),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49"/>
    <w:bookmarkStart w:id="53" w:name="the-accuracy-speed-frontier"/>
    <w:p>
      <w:pPr>
        <w:pStyle w:val="Heading2"/>
      </w:pPr>
      <w:r>
        <w:t xml:space="preserve">The accuracy × speed frontier</w:t>
      </w:r>
    </w:p>
    <w:p>
      <w:pPr>
        <w:pStyle w:val="FirstParagraph"/>
      </w:pPr>
      <w:r>
        <w:drawing>
          <wp:inline>
            <wp:extent cx="5334000" cy="2668748"/>
            <wp:effectExtent b="0" l="0" r="0" t="0"/>
            <wp:docPr descr="accuracy and cost across every split" title="" id="5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§3.3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3"/>
    <w:bookmarkStart w:id="63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5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5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is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should not be read onto this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6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3"/>
    <w:bookmarkStart w:id="71" w:name="the-broadfocused-annotation-workflow"/>
    <w:p>
      <w:pPr>
        <w:pStyle w:val="Heading2"/>
      </w:pPr>
      <w:r>
        <w:t xml:space="preserve">The broad→focused annotation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§3.3),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5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§3.5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(§3.5).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§3.5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The broad pass hands the query to the focused pass; the two do not combine.</w:t>
      </w:r>
      <w:r>
        <w:t xml:space="preserve"> </w:t>
      </w:r>
      <w:r>
        <w:t xml:space="preserve">The natural</w:t>
      </w:r>
      <w:r>
        <w:t xml:space="preserve"> </w:t>
      </w:r>
      <w:r>
        <w:t xml:space="preserve">assumption is that a better broad call should also make the focused call better. It does not.</w:t>
      </w:r>
      <w:r>
        <w:t xml:space="preserve"> </w:t>
      </w:r>
      <w:r>
        <w:t xml:space="preserve">On the leakage-free cross-study</w:t>
      </w:r>
      <w:r>
        <w:t xml:space="preserve"> </w:t>
      </w:r>
      <w:r>
        <w:t xml:space="preserve">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 lifts it</w:t>
      </w:r>
      <w:r>
        <w:t xml:space="preserve"> </w:t>
      </w:r>
      <w:r>
        <w:t xml:space="preserve">(ontology 0.408 vs 0.338 for our own broad model) but changes nothing downstream.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6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7),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 — the accuracies come from different queries and should not be read</w:t>
      </w:r>
      <w:r>
        <w:t xml:space="preserve"> </w:t>
      </w:r>
      <w:r>
        <w:t xml:space="preserve">head-to-head.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A better rule may exist; what the experiment</w:t>
      </w:r>
      <w:r>
        <w:t xml:space="preserve"> </w:t>
      </w:r>
      <w:r>
        <w:t xml:space="preserve">establishes is that the</w:t>
      </w:r>
      <w:r>
        <w:t xml:space="preserve"> </w:t>
      </w:r>
      <w:r>
        <w:rPr>
          <w:i/>
          <w:iCs/>
        </w:rPr>
        <w:t xml:space="preserve">partition</w:t>
      </w:r>
      <w:r>
        <w:t xml:space="preserve"> </w:t>
      </w:r>
      <w:r>
        <w:t xml:space="preserve">carries the information and the label does not.</w:t>
      </w:r>
    </w:p>
    <w:p>
      <w:pPr>
        <w:pStyle w:val="BodyText"/>
      </w:pPr>
      <w:r>
        <w:rPr>
          <w:b/>
          <w:bCs/>
        </w:rPr>
        <w:t xml:space="preserve">What counts as agreement is the ontology’s judgment, not ours.</w:t>
      </w:r>
      <w:r>
        <w:t xml:space="preserve"> </w:t>
      </w:r>
      <w:r>
        <w:t xml:space="preserve">The relation above is</w:t>
      </w:r>
      <w:r>
        <w:t xml:space="preserve"> </w:t>
      </w:r>
      <w:r>
        <w:t xml:space="preserve">inherited wholesale from the Cell Ontology: two calls agree when CL says one subsumes the</w:t>
      </w:r>
      <w:r>
        <w:t xml:space="preserve"> </w:t>
      </w:r>
      <w:r>
        <w:t xml:space="preserve">other.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70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71"/>
    <w:bookmarkStart w:id="78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§3.4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78"/>
    <w:bookmarkStart w:id="79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79"/>
    <w:bookmarkStart w:id="88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80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81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§3.6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 (Figure 9).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(Figure 10)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BodyText"/>
      </w:pPr>
      <w:r>
        <w:drawing>
          <wp:inline>
            <wp:extent cx="5334000" cy="2139510"/>
            <wp:effectExtent b="0" l="0" r="0" t="0"/>
            <wp:docPr descr="gene budget curve" title="" id="8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actinn-jax accuracy and macro-F1 against input gene budget across all six Open</w:t>
      </w:r>
      <w:r>
        <w:t xml:space="preserve"> </w:t>
      </w:r>
      <w:r>
        <w:t xml:space="preserve">Problems 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8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88"/>
    <w:bookmarkEnd w:id="89"/>
    <w:bookmarkStart w:id="9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(§3.3)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(§3.4):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(§3.7),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§3.3),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90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(§3.7).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§3.5,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(§3.4).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§3.4’s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91"/>
    <w:bookmarkStart w:id="92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§3.7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9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(§3.4),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(§3.4).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(§3.3,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about, but it should not be read as a ranking at atlas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92"/>
    <w:bookmarkStart w:id="99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93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94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95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96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30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7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8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S1–S11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and the per-split view behind</w:t>
      </w:r>
      <w:r>
        <w:t xml:space="preserve"> </w:t>
      </w:r>
      <w:r>
        <w:t xml:space="preserve">Figure 1 — and Tables S1–S3, the method and dataset descriptions and per-dataset accuracy.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1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20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5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8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81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8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4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33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5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1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3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70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3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5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90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8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9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2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57" Target="media/rId57.png" /><Relationship Type="http://schemas.openxmlformats.org/officeDocument/2006/relationships/image" Id="rId50" Target="media/rId50.png" /><Relationship Type="http://schemas.openxmlformats.org/officeDocument/2006/relationships/image" Id="rId67" Target="media/rId67.png" /><Relationship Type="http://schemas.openxmlformats.org/officeDocument/2006/relationships/image" Id="rId60" Target="media/rId60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7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81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8" Target="https://doi.org/10.5281/zenodo.20401417" TargetMode="External" /><Relationship Type="http://schemas.openxmlformats.org/officeDocument/2006/relationships/hyperlink" Id="rId96" Target="https://doi.org/10.5281/zenodo.21688150" TargetMode="External" /><Relationship Type="http://schemas.openxmlformats.org/officeDocument/2006/relationships/hyperlink" Id="rId95" Target="https://doi.org/10.5281/zenodo.21688151" TargetMode="External" /><Relationship Type="http://schemas.openxmlformats.org/officeDocument/2006/relationships/hyperlink" Id="rId93" Target="https://doi.org/10.5281/zenodo.21911372" TargetMode="External" /><Relationship Type="http://schemas.openxmlformats.org/officeDocument/2006/relationships/hyperlink" Id="rId90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0" Target="https://doi.org/10.7554/eLife.59928" TargetMode="External" /><Relationship Type="http://schemas.openxmlformats.org/officeDocument/2006/relationships/hyperlink" Id="rId94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80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7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81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8" Target="https://doi.org/10.5281/zenodo.20401417" TargetMode="External" /><Relationship Type="http://schemas.openxmlformats.org/officeDocument/2006/relationships/hyperlink" Id="rId96" Target="https://doi.org/10.5281/zenodo.21688150" TargetMode="External" /><Relationship Type="http://schemas.openxmlformats.org/officeDocument/2006/relationships/hyperlink" Id="rId95" Target="https://doi.org/10.5281/zenodo.21688151" TargetMode="External" /><Relationship Type="http://schemas.openxmlformats.org/officeDocument/2006/relationships/hyperlink" Id="rId93" Target="https://doi.org/10.5281/zenodo.21911372" TargetMode="External" /><Relationship Type="http://schemas.openxmlformats.org/officeDocument/2006/relationships/hyperlink" Id="rId90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0" Target="https://doi.org/10.7554/eLife.59928" TargetMode="External" /><Relationship Type="http://schemas.openxmlformats.org/officeDocument/2006/relationships/hyperlink" Id="rId94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80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2026-08-18T15:21:30Z</dcterms:created>
  <dcterms:modified xsi:type="dcterms:W3CDTF">2026-08-18T15:21:30Z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