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 into a tier-1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 that</w:t>
      </w:r>
      <w:r>
        <w:t xml:space="preserve"> </w:t>
      </w:r>
      <w:r>
        <w:t xml:space="preserve">model into a tier-1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1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tier-1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tier-1 abstain</w:t>
      </w:r>
      <w:r>
        <w:t xml:space="preserve"> </w:t>
      </w:r>
      <w:r>
        <w:t xml:space="preserve">of §3.6 belongs to the census-built reference until this one is recalibrated.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tier-1 model of comparable accuracy at roughly nine times its throughput, built</w:t>
      </w:r>
      <w:r>
        <w:t xml:space="preserve"> </w:t>
      </w:r>
      <w:r>
        <w:t xml:space="preserve">without a GPU and without labeled data (§3.5).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tier-1 reference from a labeled census slice, as §3.5’s census route does).</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distilled tier-1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(§3.5).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50"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tier-1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w:t>
      </w:r>
      <w:r>
        <w:t xml:space="preserve">and ships as</w:t>
      </w:r>
      <w:r>
        <w:t xml:space="preserve"> </w:t>
      </w:r>
      <w:r>
        <w:rPr>
          <w:rStyle w:val="VerbatimChar"/>
        </w:rPr>
        <w:t xml:space="preserve">actinn_jax.bundled_reference("panhuman_distill_v1")</w:t>
      </w:r>
      <w:r>
        <w:t xml:space="preserv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47">
        <w:r>
          <w:rPr>
            <w:rStyle w:val="Hyperlink"/>
          </w:rPr>
          <w:t xml:space="preserve">doi:10.64898/2026.07.16.738997</w:t>
        </w:r>
      </w:hyperlink>
      <w:r>
        <w:t xml:space="preserve">); its weights are</w:t>
      </w:r>
      <w:r>
        <w:t xml:space="preserve"> </w:t>
      </w:r>
      <w:r>
        <w:t xml:space="preserve">© the authors under</w:t>
      </w:r>
      <w:r>
        <w:t xml:space="preserve"> </w:t>
      </w:r>
      <w:hyperlink r:id="rId4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49">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50"/>
    <w:bookmarkStart w:id="51"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2026-07-28T19:22:15Z</dcterms:created>
  <dcterms:modified xsi:type="dcterms:W3CDTF">2026-07-28T19:22:15Z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 into a tier-1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