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S1–S10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 — a prototype VAE moves from worst</w:t>
      </w:r>
      <w:r>
        <w:t xml:space="preserve"> </w:t>
      </w:r>
      <w:r>
        <w:t xml:space="preserve">to best as the reference grows.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run, so they cover sampling</w:t>
      </w:r>
      <w:r>
        <w:t xml:space="preserve"> </w:t>
      </w:r>
      <w:r>
        <w:t xml:space="preserve">of the query and not run-to-run variation.</w:t>
      </w:r>
    </w:p>
    <w:p>
      <w:pPr>
        <w:pStyle w:val="BodyText"/>
      </w:pPr>
      <w:r>
        <w:drawing>
          <wp:inline>
            <wp:extent cx="5334000" cy="3543185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3.2× from 5 to 86 types against the tuned linear pipeline’s 11.9×.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with the reference fixed at 17,753 cells.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</w:t>
      </w:r>
      <w:r>
        <w:t xml:space="preserve"> </w:t>
      </w:r>
      <w:r>
        <w:t xml:space="preserve">flat for 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2026-08-18T02:40:34Z</dcterms:created>
  <dcterms:modified xsi:type="dcterms:W3CDTF">2026-08-18T02:40:34Z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