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3.png" ContentType="image/png"/>
  <Override PartName="/word/media/rId70.png" ContentType="image/png"/>
  <Override PartName="/word/media/rId55.png" ContentType="image/png"/>
  <Override PartName="/word/media/rId48.png" ContentType="image/png"/>
  <Override PartName="/word/media/rId65.png" ContentType="image/png"/>
  <Override PartName="/word/media/rId58.png" ContentType="image/png"/>
  <Override PartName="/word/media/rId52.png" ContentType="image/png"/>
  <Override PartName="/word/media/rId62.png" ContentType="image/png"/>
  <Override PartName="/word/media/rId80.png" ContentType="image/png"/>
  <Override PartName="/word/media/rId8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 benchmark of cell-type annotation methods for single-cell data: cost, not accuracy, distinguishes them</w:t>
      </w:r>
    </w:p>
    <w:p>
      <w:pPr>
        <w:pStyle w:val="Author"/>
      </w:pPr>
      <w:r>
        <w:t xml:space="preserve">Ian Driver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Cell-type annotation by reference mapping is one of the most repeated operations in single-cell analysis, yet comparisons report accuracy far more often than the time and memory that decide what a scientist can actually run. We benchmarked</w:t>
      </w:r>
      <w:r>
        <w:t xml:space="preserve"> </w:t>
      </w:r>
      <w:r>
        <w:rPr>
          <w:b/>
          <w:bCs/>
        </w:rPr>
        <w:t xml:space="preserve">thirteen methods</w:t>
      </w:r>
      <w:r>
        <w:t xml:space="preserve">, classical through foundation-model, across</w:t>
      </w:r>
      <w:r>
        <w:t xml:space="preserve"> </w:t>
      </w:r>
      <w:r>
        <w:rPr>
          <w:b/>
          <w:bCs/>
        </w:rPr>
        <w:t xml:space="preserve">eight splits of seven datasets</w:t>
      </w:r>
      <w:r>
        <w:t xml:space="preserve"> </w:t>
      </w:r>
      <w:r>
        <w:t xml:space="preserve">(8–151 cell types) on commodity hardware, and on Open Problems</w:t>
      </w:r>
      <w:r>
        <w:t xml:space="preserve"> </w:t>
      </w:r>
      <w:r>
        <w:rPr>
          <w:rStyle w:val="VerbatimChar"/>
        </w:rPr>
        <w:t xml:space="preserve">label_projection</w:t>
      </w:r>
      <w:r>
        <w:t xml:space="preserve">, whose datasets and metrics we did not choose. Accuracy among the leading methods is tightly clustered — the top four span</w:t>
      </w:r>
      <w:r>
        <w:t xml:space="preserve"> </w:t>
      </w:r>
      <w:r>
        <w:rPr>
          <w:b/>
          <w:bCs/>
        </w:rPr>
        <w:t xml:space="preserve">0.008</w:t>
      </w:r>
      <w:r>
        <w:t xml:space="preserve"> </w:t>
      </w:r>
      <w:r>
        <w:t xml:space="preserve">— while their inference cost differs by two orders of magnitude and their peak memory by 2.5×. No method leads everywhere, and no ordering is stable: it inverts with reference size, feature budget and label granularity. Because annotation is this cheap, a query can be labelled several times rather than once. We ran three procedures that do so, all using</w:t>
      </w:r>
      <w:r>
        <w:t xml:space="preserve"> </w:t>
      </w:r>
      <w:r>
        <w:rPr>
          <w:b/>
          <w:bCs/>
        </w:rPr>
        <w:t xml:space="preserve">actinn-jax</w:t>
      </w:r>
      <w:r>
        <w:t xml:space="preserve">, a JAX reimplementation of ACTINN that caches a trained reference and labels a query in under a second. A 798-type human reference assigns a tissue, and a tissue-specific reference then relabels the same cells, raising cross-study liver from 0.23 exact / 0.58 ontology to 0.72 / 0.86. A pretrained pan-human annotator was distilled into an actinn-jax reference that matches its accuracy and labels six to nine times faster, built from unlabelled data without a GPU. Running three broad references over one query and grouping cells by whether the three agree separates reliable calls from unreliable ones: in liver, lung and brain every reference scores far higher where all three agree, though the consensus label beats no single reference. Code and pre-trained references are available at github.com/iandriver/actinn-jax, github.com/iandriver/actinn-jax-benchmark and doi:10.5281/zenodo.21688150.</w:t>
      </w:r>
    </w:p>
    <w:p>
      <w:pPr>
        <w:pStyle w:val="FirstParagraph"/>
      </w:pPr>
      <w:r>
        <w:rPr>
          <w:i/>
          <w:iCs/>
        </w:rPr>
        <w:t xml:space="preserve">Independent Researcher, Detroit, MI, USA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Correspondence: driver.ian@gmail.com</w:t>
      </w:r>
    </w:p>
    <w:bookmarkStart w:id="12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Annotating cell types by mapping to a labeled reference is one of the most frequently run</w:t>
      </w:r>
      <w:r>
        <w:t xml:space="preserve"> </w:t>
      </w:r>
      <w:r>
        <w:t xml:space="preserve">operations in single-cell RNA-seq. The method landscape is large,</w:t>
      </w:r>
      <w:r>
        <w:t xml:space="preserve"> </w:t>
      </w:r>
      <w:r>
        <w:t xml:space="preserve">but published comparisons (</w:t>
      </w:r>
      <w:hyperlink r:id="rId9">
        <w:r>
          <w:rPr>
            <w:rStyle w:val="Hyperlink"/>
          </w:rPr>
          <w:t xml:space="preserve">[Abdelaal 2019]</w:t>
        </w:r>
      </w:hyperlink>
      <w:r>
        <w:t xml:space="preserve">,</w:t>
      </w:r>
      <w:r>
        <w:t xml:space="preserve"> </w:t>
      </w:r>
      <w:hyperlink r:id="rId10">
        <w:r>
          <w:rPr>
            <w:rStyle w:val="Hyperlink"/>
          </w:rPr>
          <w:t xml:space="preserve">[Fu 2024]</w:t>
        </w:r>
      </w:hyperlink>
      <w:r>
        <w:t xml:space="preserve">) emphasize accuracy and rarely</w:t>
      </w:r>
      <w:r>
        <w:t xml:space="preserve"> </w:t>
      </w:r>
      <w:r>
        <w:t xml:space="preserve">report the axis that decides what a working scientist actually runs on their own machine:</w:t>
      </w:r>
      <w:r>
        <w:t xml:space="preserve"> </w:t>
      </w:r>
      <w:r>
        <w:rPr>
          <w:b/>
          <w:bCs/>
        </w:rPr>
        <w:t xml:space="preserve">wall-clock time and memory on commodity hardware</w:t>
      </w:r>
      <w:r>
        <w:t xml:space="preserve">, without a GPU. Foundation models</w:t>
      </w:r>
      <w:r>
        <w:t xml:space="preserve"> </w:t>
      </w:r>
      <w:r>
        <w:t xml:space="preserve">(scGPT, Geneformer, scPRINT) push accuracy in some settings but need GPUs and minutes-to-</w:t>
      </w:r>
      <w:r>
        <w:t xml:space="preserve"> </w:t>
      </w:r>
      <w:r>
        <w:t xml:space="preserve">hours, and — as we and others find — their</w:t>
      </w:r>
      <w:r>
        <w:t xml:space="preserve"> </w:t>
      </w:r>
      <w:r>
        <w:rPr>
          <w:i/>
          <w:iCs/>
        </w:rPr>
        <w:t xml:space="preserve">zero-shot</w:t>
      </w:r>
      <w:r>
        <w:t xml:space="preserve"> </w:t>
      </w:r>
      <w:r>
        <w:t xml:space="preserve">label predictions underperform a</w:t>
      </w:r>
      <w:r>
        <w:t xml:space="preserve"> </w:t>
      </w:r>
      <w:r>
        <w:t xml:space="preserve">small model trained on curated reference labels.</w:t>
      </w:r>
    </w:p>
    <w:p>
      <w:pPr>
        <w:pStyle w:val="BodyText"/>
      </w:pPr>
      <w:r>
        <w:t xml:space="preserve">We ask a practical question:</w:t>
      </w:r>
      <w:r>
        <w:t xml:space="preserve"> </w:t>
      </w:r>
      <w:r>
        <w:rPr>
          <w:b/>
          <w:bCs/>
        </w:rPr>
        <w:t xml:space="preserve">for a given annotation job on commodity hardware, which</w:t>
      </w:r>
      <w:r>
        <w:rPr>
          <w:b/>
          <w:bCs/>
        </w:rPr>
        <w:t xml:space="preserve"> </w:t>
      </w:r>
      <w:r>
        <w:rPr>
          <w:b/>
          <w:bCs/>
        </w:rPr>
        <w:t xml:space="preserve">method should you actually run, and what does the surrounding workflow look like?</w:t>
      </w:r>
      <w:r>
        <w:t xml:space="preserve"> </w:t>
      </w:r>
      <w:r>
        <w:t xml:space="preserve">The leading</w:t>
      </w:r>
      <w:r>
        <w:t xml:space="preserve"> </w:t>
      </w:r>
      <w:r>
        <w:t xml:space="preserve">methods now annotate quickly and accurately and give a usable signal on unknown cells, so</w:t>
      </w:r>
      <w:r>
        <w:t xml:space="preserve"> </w:t>
      </w:r>
      <w:r>
        <w:t xml:space="preserve">the shortage is not another leaderboard but guidance on fit-for-purpose — accuracy per</w:t>
      </w:r>
      <w:r>
        <w:t xml:space="preserve"> </w:t>
      </w:r>
      <w:r>
        <w:t xml:space="preserve">second, accuracy per byte, and how each behaves as the reference grows. We answer with a</w:t>
      </w:r>
      <w:r>
        <w:t xml:space="preserve"> </w:t>
      </w:r>
      <w:r>
        <w:t xml:space="preserve">neutral 13-method benchmark plus a set of demonstrated workflows, held to a single standard:</w:t>
      </w:r>
      <w:r>
        <w:t xml:space="preserve"> </w:t>
      </w:r>
      <w:r>
        <w:t xml:space="preserve">every method runs in its own environment through the same harness, on the same splits, scored</w:t>
      </w:r>
      <w:r>
        <w:t xml:space="preserve"> </w:t>
      </w:r>
      <w:r>
        <w:t xml:space="preserve">by the same metrics, and reported as measured — including where actinn-jax is not the leader.</w:t>
      </w:r>
    </w:p>
    <w:p>
      <w:pPr>
        <w:pStyle w:val="BodyText"/>
      </w:pPr>
      <w:r>
        <w:rPr>
          <w:b/>
          <w:bCs/>
        </w:rPr>
        <w:t xml:space="preserve">How the comparison was constrained.</w:t>
      </w:r>
      <w:r>
        <w:t xml:space="preserve"> </w:t>
      </w:r>
      <w:r>
        <w:t xml:space="preserve">A benchmark written by a method’s own author has a</w:t>
      </w:r>
      <w:r>
        <w:t xml:space="preserve"> </w:t>
      </w:r>
      <w:r>
        <w:t xml:space="preserve">well-known failure mode: the datasets, baselines and metrics that flatter the method are the</w:t>
      </w:r>
      <w:r>
        <w:t xml:space="preserve"> </w:t>
      </w:r>
      <w:r>
        <w:t xml:space="preserve">ones that get reported. Every method here runs on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dataset, so none appears on a</w:t>
      </w:r>
      <w:r>
        <w:t xml:space="preserve"> </w:t>
      </w:r>
      <w:r>
        <w:t xml:space="preserve">favorable subset, and the two methods outside that matrix are named with reasons (§2.2). The panel was chosen to include</w:t>
      </w:r>
      <w:r>
        <w:t xml:space="preserve"> </w:t>
      </w:r>
      <w:r>
        <w:t xml:space="preserve">the baselines most likely to beat a small MLP — a carefully tuned linear pipeline, scTOP,</w:t>
      </w:r>
      <w:r>
        <w:t xml:space="preserve"> </w:t>
      </w:r>
      <w:r>
        <w:t xml:space="preserve">ProtoCloud — and each of them does beat it somewhere; our own classical tier is left untuned</w:t>
      </w:r>
      <w:r>
        <w:t xml:space="preserve"> </w:t>
      </w:r>
      <w:r>
        <w:t xml:space="preserve">while the linear baseline is tuned, which is the unfavorable direction (§5). Metrics are</w:t>
      </w:r>
      <w:r>
        <w:t xml:space="preserve"> </w:t>
      </w:r>
      <w:r>
        <w:t xml:space="preserve">fixed across all methods and reported in full. And the</w:t>
      </w:r>
      <w:r>
        <w:t xml:space="preserve"> </w:t>
      </w:r>
      <w:r>
        <w:rPr>
          <w:b/>
          <w:bCs/>
        </w:rPr>
        <w:t xml:space="preserve">external validation is not ours to</w:t>
      </w:r>
      <w:r>
        <w:rPr>
          <w:b/>
          <w:bCs/>
        </w:rPr>
        <w:t xml:space="preserve"> </w:t>
      </w:r>
      <w:r>
        <w:rPr>
          <w:b/>
          <w:bCs/>
        </w:rPr>
        <w:t xml:space="preserve">design</w:t>
      </w:r>
      <w:r>
        <w:t xml:space="preserve">: Open Problems</w:t>
      </w:r>
      <w:r>
        <w:t xml:space="preserve"> </w:t>
      </w:r>
      <w:r>
        <w:rPr>
          <w:rStyle w:val="VerbatimChar"/>
        </w:rPr>
        <w:t xml:space="preserve">label_projection</w:t>
      </w:r>
      <w:r>
        <w:t xml:space="preserve"> </w:t>
      </w:r>
      <w:r>
        <w:t xml:space="preserve">(§3.7) sets the datasets, the metrics and</w:t>
      </w:r>
      <w:r>
        <w:t xml:space="preserve"> </w:t>
      </w:r>
      <w:r>
        <w:t xml:space="preserve">the ranking, and we did not choose any of them. Where results run against this method’s</w:t>
      </w:r>
      <w:r>
        <w:t xml:space="preserve"> </w:t>
      </w:r>
      <w:r>
        <w:t xml:space="preserve">interests — ProtoCloud overtaking actinn-jax at atlas scale, a memory advantage that stays a</w:t>
      </w:r>
      <w:r>
        <w:t xml:space="preserve"> </w:t>
      </w:r>
      <w:r>
        <w:t xml:space="preserve">fixed factor instead of growing with the data, a better-resourced broad annotator, a</w:t>
      </w:r>
      <w:r>
        <w:t xml:space="preserve"> </w:t>
      </w:r>
      <w:r>
        <w:t xml:space="preserve">correlation method leading the finest-grained split — they are reported in those terms.</w:t>
      </w:r>
    </w:p>
    <w:p>
      <w:pPr>
        <w:pStyle w:val="BodyText"/>
      </w:pPr>
      <w:r>
        <w:rPr>
          <w:b/>
          <w:bCs/>
        </w:rPr>
        <w:t xml:space="preserve">On adding another method to a crowded field.</w:t>
      </w:r>
      <w:r>
        <w:t xml:space="preserve"> </w:t>
      </w:r>
      <w:r>
        <w:t xml:space="preserve">We are not concluding that the new method</w:t>
      </w:r>
      <w:r>
        <w:t xml:space="preserve"> </w:t>
      </w:r>
      <w:r>
        <w:t xml:space="preserve">wins. On accuracy it sits inside a four-way cluster it does not lead; the panel was assembled</w:t>
      </w:r>
      <w:r>
        <w:t xml:space="preserve"> </w:t>
      </w:r>
      <w:r>
        <w:t xml:space="preserve">to include the baselines most likely to beat it, and they do. What earns it a place is</w:t>
      </w:r>
      <w:r>
        <w:t xml:space="preserve"> </w:t>
      </w:r>
      <w:r>
        <w:t xml:space="preserve">narrower: the original ACTINN no longer installs or runs on current Python and ML</w:t>
      </w:r>
      <w:r>
        <w:t xml:space="preserve"> </w:t>
      </w:r>
      <w:r>
        <w:t xml:space="preserve">environments, and the</w:t>
      </w:r>
      <w:r>
        <w:t xml:space="preserve"> </w:t>
      </w:r>
      <w:r>
        <w:t xml:space="preserve">reimplementation’s flat, sub-second, memory-bounded inference over a cached reference is what</w:t>
      </w:r>
      <w:r>
        <w:t xml:space="preserve"> </w:t>
      </w:r>
      <w:r>
        <w:t xml:space="preserve">makes the multi-stage workflow of §3.4 practical on a laptop. A field already full of working</w:t>
      </w:r>
      <w:r>
        <w:t xml:space="preserve"> </w:t>
      </w:r>
      <w:r>
        <w:t xml:space="preserve">methods (</w:t>
      </w:r>
      <w:hyperlink r:id="rId11">
        <w:r>
          <w:rPr>
            <w:rStyle w:val="Hyperlink"/>
          </w:rPr>
          <w:t xml:space="preserve">xkcd 927</w:t>
        </w:r>
      </w:hyperlink>
      <w:r>
        <w:t xml:space="preserve">) is a good reason to be specific about what a new entry is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— here,</w:t>
      </w:r>
      <w:r>
        <w:t xml:space="preserve"> </w:t>
      </w:r>
      <w:r>
        <w:t xml:space="preserve">a cost profile that lets several models be chained — rather than to claim it supersedes what</w:t>
      </w:r>
      <w:r>
        <w:t xml:space="preserve"> </w:t>
      </w:r>
      <w:r>
        <w:t xml:space="preserve">exists. Where a better-resourced model already exists, the productive move is to build on it</w:t>
      </w:r>
      <w:r>
        <w:t xml:space="preserve"> </w:t>
      </w:r>
      <w:r>
        <w:t xml:space="preserve">(§3.4).</w:t>
      </w:r>
    </w:p>
    <w:p>
      <w:pPr>
        <w:pStyle w:val="BodyText"/>
      </w:pPr>
      <w:r>
        <w:rPr>
          <w:b/>
          <w:bCs/>
        </w:rPr>
        <w:t xml:space="preserve">Contributions.</w:t>
      </w:r>
    </w:p>
    <w:p>
      <w:pPr>
        <w:pStyle w:val="Compact"/>
        <w:numPr>
          <w:ilvl w:val="0"/>
          <w:numId w:val="1001"/>
        </w:numPr>
      </w:pPr>
      <w:r>
        <w:t xml:space="preserve">A modern, dependency-light (no TensorFlow) JAX reimplementation of ACTINN with sparse</w:t>
      </w:r>
      <w:r>
        <w:t xml:space="preserve"> </w:t>
      </w:r>
      <w:r>
        <w:t xml:space="preserve">preprocessing, chunked atlas-scale prediction, and a cached reference model.</w:t>
      </w:r>
    </w:p>
    <w:p>
      <w:pPr>
        <w:pStyle w:val="Compact"/>
        <w:numPr>
          <w:ilvl w:val="0"/>
          <w:numId w:val="1001"/>
        </w:numPr>
      </w:pPr>
      <w:r>
        <w:t xml:space="preserve">A neutral</w:t>
      </w:r>
      <w:r>
        <w:t xml:space="preserve"> </w:t>
      </w:r>
      <w:r>
        <w:rPr>
          <w:b/>
          <w:bCs/>
        </w:rPr>
        <w:t xml:space="preserve">13-method × 6-dataset</w:t>
      </w:r>
      <w:r>
        <w:t xml:space="preserve"> </w:t>
      </w:r>
      <w:r>
        <w:t xml:space="preserve">benchmark of accuracy, speed, and memory on Apple</w:t>
      </w:r>
      <w:r>
        <w:t xml:space="preserve"> </w:t>
      </w:r>
      <w:r>
        <w:t xml:space="preserve">Silicon, with a rejection/abstain analysis and a</w:t>
      </w:r>
      <w:r>
        <w:t xml:space="preserve"> </w:t>
      </w:r>
      <w:r>
        <w:rPr>
          <w:b/>
          <w:bCs/>
        </w:rPr>
        <w:t xml:space="preserve">sweep across reference sizes up to</w:t>
      </w:r>
      <w:r>
        <w:rPr>
          <w:b/>
          <w:bCs/>
        </w:rPr>
        <w:t xml:space="preserve"> </w:t>
      </w:r>
      <w:r>
        <w:rPr>
          <w:b/>
          <w:bCs/>
        </w:rPr>
        <w:t xml:space="preserve">full atlas scale</w:t>
      </w:r>
      <w:r>
        <w:t xml:space="preserve">, which is what shows that the ranking is a function of how much</w:t>
      </w:r>
      <w:r>
        <w:t xml:space="preserve"> </w:t>
      </w:r>
      <w:r>
        <w:t xml:space="preserve">reference data each method is given. The panel deliberately includes the baselines most likely to beat a</w:t>
      </w:r>
      <w:r>
        <w:t xml:space="preserve"> </w:t>
      </w:r>
      <w:r>
        <w:t xml:space="preserve">small MLP — a tuned linear pipeline, scTOP, and ProtoCloud — and the results are reported</w:t>
      </w:r>
      <w:r>
        <w:t xml:space="preserve"> </w:t>
      </w:r>
      <w:r>
        <w:t xml:space="preserve">as measured (§3.1, §5). The sweep is also what sets actinn-jax’s minibatch policy: at</w:t>
      </w:r>
      <w:r>
        <w:t xml:space="preserve"> </w:t>
      </w:r>
      <w:r>
        <w:t xml:space="preserve">ACTINN’s fixed batch of 128, a 47k-cell reference costs ~24k tiny update steps, so</w:t>
      </w:r>
      <w:r>
        <w:t xml:space="preserve"> </w:t>
      </w:r>
      <w:r>
        <w:t xml:space="preserve">actinn-jax scales the batch with the reference above ~12.8k cells and keeps 128 below it.</w:t>
      </w:r>
      <w:r>
        <w:t xml:space="preserve"> </w:t>
      </w:r>
      <w:r>
        <w:t xml:space="preserve">Measured fit and predict curves are in §3.3.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Demonstrated end-to-end workflows</w:t>
      </w:r>
      <w:r>
        <w:t xml:space="preserve"> </w:t>
      </w:r>
      <w:r>
        <w:t xml:space="preserve">for jobs where cost is the binding constraint,</w:t>
      </w:r>
      <w:r>
        <w:t xml:space="preserve"> </w:t>
      </w:r>
      <w:r>
        <w:t xml:space="preserve">all CPU: annotate an unknown human dataset from a</w:t>
      </w:r>
      <w:r>
        <w:t xml:space="preserve"> </w:t>
      </w:r>
      <w:r>
        <w:rPr>
          <w:b/>
          <w:bCs/>
        </w:rPr>
        <w:t xml:space="preserve">bundled census-wide ~800-type</w:t>
      </w:r>
      <w:r>
        <w:rPr>
          <w:b/>
          <w:bCs/>
        </w:rP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with a calibrated abstain and no training;</w:t>
      </w:r>
      <w:r>
        <w:t xml:space="preserve"> </w:t>
      </w:r>
      <w:r>
        <w:rPr>
          <w:b/>
          <w:bCs/>
        </w:rPr>
        <w:t xml:space="preserve">tissue-aware refinement</w:t>
      </w:r>
      <w:r>
        <w:t xml:space="preserve"> </w:t>
      </w:r>
      <w:r>
        <w:t xml:space="preserve">(halves</w:t>
      </w:r>
      <w:r>
        <w:t xml:space="preserve"> </w:t>
      </w:r>
      <w:r>
        <w:t xml:space="preserve">spurious cross-tissue labels on a liver query); a</w:t>
      </w:r>
      <w:r>
        <w:t xml:space="preserve"> </w:t>
      </w:r>
      <w:r>
        <w:rPr>
          <w:b/>
          <w:bCs/>
        </w:rPr>
        <w:t xml:space="preserve">broad→focused hand-off</w:t>
      </w:r>
      <w:r>
        <w:t xml:space="preserve"> </w:t>
      </w:r>
      <w:r>
        <w:t xml:space="preserve">to a small</w:t>
      </w:r>
      <w:r>
        <w:t xml:space="preserve"> </w:t>
      </w:r>
      <w:r>
        <w:t xml:space="preserve">focused reference (cross-study liver 0.23/0.58 → 0.72/0.86); within-cell-type resolution</w:t>
      </w:r>
      <w:r>
        <w:t xml:space="preserve"> </w:t>
      </w:r>
      <w:r>
        <w:t xml:space="preserve">(hepatocyte zonation); and a</w:t>
      </w:r>
      <w:r>
        <w:t xml:space="preserve"> </w:t>
      </w:r>
      <w:r>
        <w:rPr>
          <w:b/>
          <w:bCs/>
        </w:rPr>
        <w:t xml:space="preserve">one-call novel-cell-type screen</w:t>
      </w:r>
      <w:r>
        <w:t xml:space="preserve"> </w:t>
      </w:r>
      <w:r>
        <w:t xml:space="preserve">(recovers a withheld</w:t>
      </w:r>
      <w:r>
        <w:t xml:space="preserve"> </w:t>
      </w:r>
      <w:r>
        <w:t xml:space="preserve">pulmonary ionocyte population and its marker ASCL3). We are precise about what is not</w:t>
      </w:r>
      <w:r>
        <w:t xml:space="preserve"> </w:t>
      </w:r>
      <w:r>
        <w:t xml:space="preserve">ours: ProtoCloud offers uncertainty, attribution and a retraining-based refine, and</w:t>
      </w:r>
      <w:r>
        <w:t xml:space="preserve"> </w:t>
      </w:r>
      <w:r>
        <w:t xml:space="preserve">Pan-human Azimuth is a pretrained hierarchical pan-human annotator with trained</w:t>
      </w:r>
      <w:r>
        <w:t xml:space="preserve"> </w:t>
      </w:r>
      <w:r>
        <w:t xml:space="preserve">abstention, so the broad pass itself is not a distinguishing feature — we distill that</w:t>
      </w:r>
      <w:r>
        <w:t xml:space="preserve"> </w:t>
      </w:r>
      <w:r>
        <w:t xml:space="preserve">model into a broad-pass reference rather than compete with it. What is distinct is</w:t>
      </w:r>
      <w:r>
        <w:t xml:space="preserve"> </w:t>
      </w:r>
      <w:r>
        <w:rPr>
          <w:b/>
          <w:bCs/>
        </w:rPr>
        <w:t xml:space="preserve">refinement into a label set no pretrained model carries</w:t>
      </w:r>
      <w:r>
        <w:t xml:space="preserve"> </w:t>
      </w:r>
      <w:r>
        <w:t xml:space="preserve">— the user’s own focused</w:t>
      </w:r>
      <w:r>
        <w:t xml:space="preserve"> </w:t>
      </w:r>
      <w:r>
        <w:t xml:space="preserve">reference, and states below a fixed typology’s leaves. The same route builds a</w:t>
      </w:r>
      <w:r>
        <w:t xml:space="preserve"> </w:t>
      </w:r>
      <w:r>
        <w:rPr>
          <w:b/>
          <w:bCs/>
        </w:rPr>
        <w:t xml:space="preserve">pan-mouse reference</w:t>
      </w:r>
      <w:r>
        <w:t xml:space="preserve"> </w:t>
      </w:r>
      <w:r>
        <w:t xml:space="preserve">(453 types / 85 tissues; 0.638 ontology concordance on two</w:t>
      </w:r>
      <w:r>
        <w:t xml:space="preserve"> </w:t>
      </w:r>
      <w:r>
        <w:t xml:space="preserve">withheld datasets) in 17 s of CPU, using Cell Ontology lineage in place of a</w:t>
      </w:r>
      <w:r>
        <w:t xml:space="preserve"> </w:t>
      </w:r>
      <w:r>
        <w:t xml:space="preserve">foundation-model embedding. On the human corpus where it was validated it beats having no</w:t>
      </w:r>
      <w:r>
        <w:t xml:space="preserve"> </w:t>
      </w:r>
      <w:r>
        <w:t xml:space="preserve">hierarchy at all (0.616 vs 0.547) and a random grouping of the same sizes (0.539), and it</w:t>
      </w:r>
      <w:r>
        <w:t xml:space="preserve"> </w:t>
      </w:r>
      <w:r>
        <w:t xml:space="preserve">needs no GPU at any stage.</w:t>
      </w:r>
    </w:p>
    <w:p>
      <w:pPr>
        <w:pStyle w:val="Compact"/>
        <w:numPr>
          <w:ilvl w:val="0"/>
          <w:numId w:val="100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independent external validation</w:t>
      </w:r>
      <w:r>
        <w:t xml:space="preserve"> </w:t>
      </w:r>
      <w:r>
        <w:t xml:space="preserve">on Open Problems</w:t>
      </w:r>
      <w:r>
        <w:t xml:space="preserve"> </w:t>
      </w:r>
      <w:r>
        <w:rPr>
          <w:rStyle w:val="VerbatimChar"/>
        </w:rPr>
        <w:t xml:space="preserve">label_projection</w:t>
      </w:r>
      <w:r>
        <w:t xml:space="preserve">, with a</w:t>
      </w:r>
      <w:r>
        <w:t xml:space="preserve"> </w:t>
      </w:r>
      <w:r>
        <w:t xml:space="preserve">controlled same-hardware speed/memory comparison, and a set of cheap ablations that</w:t>
      </w:r>
      <w:r>
        <w:t xml:space="preserve"> </w:t>
      </w:r>
      <w:r>
        <w:t xml:space="preserve">characterize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the gene-space model gains or loses to heavier methods (input</w:t>
      </w:r>
      <w:r>
        <w:t xml:space="preserve"> </w:t>
      </w:r>
      <w:r>
        <w:t xml:space="preserve">standardization; a reference-guided gene budget; a foundation-model negative control).</w:t>
      </w:r>
    </w:p>
    <w:bookmarkEnd w:id="12"/>
    <w:bookmarkStart w:id="46" w:name="methods"/>
    <w:p>
      <w:pPr>
        <w:pStyle w:val="Heading1"/>
      </w:pPr>
      <w:r>
        <w:t xml:space="preserve">Methods</w:t>
      </w:r>
    </w:p>
    <w:bookmarkStart w:id="15" w:name="actinn-jax"/>
    <w:p>
      <w:pPr>
        <w:pStyle w:val="Heading2"/>
      </w:pPr>
      <w:r>
        <w:t xml:space="preserve">actinn-jax</w:t>
      </w:r>
    </w:p>
    <w:p>
      <w:pPr>
        <w:pStyle w:val="FirstParagraph"/>
      </w:pPr>
      <w:r>
        <w:t xml:space="preserve">actinn-jax reimplements ACTINN (</w:t>
      </w:r>
      <w:hyperlink r:id="rId13">
        <w:r>
          <w:rPr>
            <w:rStyle w:val="Hyperlink"/>
          </w:rPr>
          <w:t xml:space="preserve">[Ma &amp; Pellegrini 2020]</w:t>
        </w:r>
      </w:hyperlink>
      <w:r>
        <w:t xml:space="preserve">) — a 4-layer fully-connected</w:t>
      </w:r>
      <w:r>
        <w:t xml:space="preserve"> </w:t>
      </w:r>
      <w:r>
        <w:t xml:space="preserve">network (100/50/25 hidden units, ReLU, softmax) trained with Adam — in JAX/optax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[Bradbury 2018]</w:t>
        </w:r>
      </w:hyperlink>
      <w:r>
        <w:t xml:space="preserve">), replacing</w:t>
      </w:r>
      <w:r>
        <w:t xml:space="preserve"> </w:t>
      </w:r>
      <w:r>
        <w:t xml:space="preserve">the original’s TensorFlow-1.x graph/session code. Key engineering: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Sparse-aware preprocessing</w:t>
      </w:r>
      <w:r>
        <w:t xml:space="preserve">: the count matrix is never densified in full. CP10k+log2</w:t>
      </w:r>
      <w:r>
        <w:t xml:space="preserve"> </w:t>
      </w:r>
      <w:r>
        <w:t xml:space="preserve">normalization and the expression / coefficient-of-variation gene filter run on the sparse</w:t>
      </w:r>
      <w:r>
        <w:t xml:space="preserve"> </w:t>
      </w:r>
      <w:r>
        <w:t xml:space="preserve">matrix; only the selected-gene columns of each minibatch are made dense.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Cached reference model</w:t>
      </w:r>
      <w:r>
        <w:t xml:space="preserve">: train once, write the fitted model to disk, reload it and map</w:t>
      </w:r>
      <w:r>
        <w:t xml:space="preserve"> </w:t>
      </w:r>
      <w:r>
        <w:t xml:space="preserve">many queries — the amortized cost of repeated annotation against a fixed reference drops</w:t>
      </w:r>
      <w:r>
        <w:t xml:space="preserve"> </w:t>
      </w:r>
      <w:r>
        <w:t xml:space="preserve">to the inference cost alone.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Chunked prediction</w:t>
      </w:r>
      <w:r>
        <w:t xml:space="preserve"> </w:t>
      </w:r>
      <w:r>
        <w:t xml:space="preserve">for atlas-scale queries, and raw counts are picked up automatically</w:t>
      </w:r>
      <w:r>
        <w:t xml:space="preserve"> </w:t>
      </w:r>
      <w:r>
        <w:t xml:space="preserve">from the slot where CELLxGENE files conventionally store them.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Optional reference-fit standardization</w:t>
      </w:r>
      <w:r>
        <w:t xml:space="preserve">: z-score each selected gene by the reference’s</w:t>
      </w:r>
      <w:r>
        <w:t xml:space="preserve"> </w:t>
      </w:r>
      <w:r>
        <w:t xml:space="preserve">frozen mean and standard deviation and apply that to the query — a cheap domain alignment</w:t>
      </w:r>
      <w:r>
        <w:t xml:space="preserve"> </w:t>
      </w:r>
      <w:r>
        <w:t xml:space="preserve">(§3.7). Off by default; when on, the scaler is saved alongside the model and travels with</w:t>
      </w:r>
      <w:r>
        <w:t xml:space="preserve"> </w:t>
      </w:r>
      <w:r>
        <w:t xml:space="preserve">it, and models saved without it still load.</w:t>
      </w:r>
    </w:p>
    <w:p>
      <w:pPr>
        <w:pStyle w:val="FirstParagraph"/>
      </w:pPr>
      <w:r>
        <w:t xml:space="preserve">The reimplementation reproduces the original’s accuracy to within repeat noise and, unlike</w:t>
      </w:r>
      <w:r>
        <w:t xml:space="preserve"> </w:t>
      </w:r>
      <w:r>
        <w:t xml:space="preserve">the TensorFlow-1.x original,</w:t>
      </w:r>
      <w:r>
        <w:t xml:space="preserve"> </w:t>
      </w:r>
      <w:r>
        <w:rPr>
          <w:b/>
          <w:bCs/>
        </w:rPr>
        <w:t xml:space="preserve">installs on current Python and ML environments</w:t>
      </w:r>
      <w:r>
        <w:t xml:space="preserve">. Because the</w:t>
      </w:r>
      <w:r>
        <w:t xml:space="preserve"> </w:t>
      </w:r>
      <w:r>
        <w:t xml:space="preserve">two are the same model at equal accuracy, we do not carry the original as a separate benchmark</w:t>
      </w:r>
      <w:r>
        <w:t xml:space="preserve"> </w:t>
      </w:r>
      <w:r>
        <w:t xml:space="preserve">row: the change is one of installability and speed, not of accuracy.</w:t>
      </w:r>
    </w:p>
    <w:bookmarkEnd w:id="15"/>
    <w:bookmarkStart w:id="26" w:name="benchmarked-methods"/>
    <w:p>
      <w:pPr>
        <w:pStyle w:val="Heading2"/>
      </w:pPr>
      <w:r>
        <w:t xml:space="preserve">Benchmarked methods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6"/>
        <w:gridCol w:w="1250"/>
        <w:gridCol w:w="1146"/>
        <w:gridCol w:w="2084"/>
        <w:gridCol w:w="1042"/>
        <w:gridCol w:w="12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engine</w:t>
            </w:r>
          </w:p>
        </w:tc>
        <w:tc>
          <w:tcPr/>
          <w:p>
            <w:pPr>
              <w:pStyle w:val="Compact"/>
            </w:pPr>
            <w:r>
              <w:t xml:space="preserve">rejection</w:t>
            </w:r>
          </w:p>
        </w:tc>
        <w:tc>
          <w:tcPr/>
          <w:p>
            <w:pPr>
              <w:pStyle w:val="Compact"/>
            </w:pPr>
            <w:r>
              <w:t xml:space="preserve">runtime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actinn-jax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[Ma &amp; Pellegrini 2020]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JAX MLP</w:t>
            </w:r>
          </w:p>
        </w:tc>
        <w:tc>
          <w:tcPr/>
          <w:p>
            <w:pPr>
              <w:pStyle w:val="Compact"/>
            </w:pPr>
            <w:r>
              <w:t xml:space="preserve">confidence threshold</w:t>
            </w:r>
          </w:p>
        </w:tc>
        <w:tc>
          <w:tcPr/>
          <w:p>
            <w:pPr>
              <w:pStyle w:val="Compact"/>
            </w:pPr>
            <w:r>
              <w:t xml:space="preserve">JAX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SVM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[Pedregosa 2011]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linear SVM (SGD)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[Pedregosa 2011]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k-nearest neighbors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CellTypist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[Domínguez Conde 2022]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linear</w:t>
            </w:r>
          </w:p>
        </w:tc>
        <w:tc>
          <w:tcPr/>
          <w:p>
            <w:pPr>
              <w:pStyle w:val="Compact"/>
            </w:pPr>
            <w:r>
              <w:t xml:space="preserve">L2 logistic regression</w:t>
            </w:r>
          </w:p>
        </w:tc>
        <w:tc>
          <w:tcPr/>
          <w:p>
            <w:pPr>
              <w:pStyle w:val="Compact"/>
            </w:pPr>
            <w:r>
              <w:t xml:space="preserve">prob threshold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linear-anova-pca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[Pedregosa 2011]</w:t>
              </w:r>
            </w:hyperlink>
            <w:r>
              <w:t xml:space="preserve"> </w:t>
            </w:r>
            <w:r>
              <w:t xml:space="preserve">†</w:t>
            </w:r>
          </w:p>
        </w:tc>
        <w:tc>
          <w:tcPr/>
          <w:p>
            <w:pPr>
              <w:pStyle w:val="Compact"/>
            </w:pPr>
            <w:r>
              <w:t xml:space="preserve">linear</w:t>
            </w:r>
          </w:p>
        </w:tc>
        <w:tc>
          <w:tcPr/>
          <w:p>
            <w:pPr>
              <w:pStyle w:val="Compact"/>
            </w:pPr>
            <w:r>
              <w:t xml:space="preserve">normalize → ANOVA → PCA(220) → logreg</w:t>
            </w:r>
          </w:p>
        </w:tc>
        <w:tc>
          <w:tcPr/>
          <w:p>
            <w:pPr>
              <w:pStyle w:val="Compact"/>
            </w:pPr>
            <w: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scTOP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[Yampolskaya 2023]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parameter-free</w:t>
            </w:r>
          </w:p>
        </w:tc>
        <w:tc>
          <w:tcPr/>
          <w:p>
            <w:pPr>
              <w:pStyle w:val="Compact"/>
            </w:pPr>
            <w:r>
              <w:t xml:space="preserve">rank z-score class-average projection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NumPy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SingleR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[Aran 2019]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correlation</w:t>
            </w:r>
          </w:p>
        </w:tc>
        <w:tc>
          <w:tcPr/>
          <w:p>
            <w:pPr>
              <w:pStyle w:val="Compact"/>
            </w:pPr>
            <w:r>
              <w:t xml:space="preserve">Spearman + fine-tuning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scmap-cluster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[Kiselev 2018]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correlation</w:t>
            </w:r>
          </w:p>
        </w:tc>
        <w:tc>
          <w:tcPr/>
          <w:p>
            <w:pPr>
              <w:pStyle w:val="Compact"/>
            </w:pPr>
            <w:r>
              <w:t xml:space="preserve">centroid cosine</w:t>
            </w:r>
          </w:p>
        </w:tc>
        <w:tc>
          <w:tcPr/>
          <w:p>
            <w:pPr>
              <w:pStyle w:val="Compact"/>
            </w:pPr>
            <w:r>
              <w:t xml:space="preserve">yes (unassigned)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scANVI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[Xu 2021]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deep</w:t>
            </w:r>
          </w:p>
        </w:tc>
        <w:tc>
          <w:tcPr/>
          <w:p>
            <w:pPr>
              <w:pStyle w:val="Compact"/>
            </w:pPr>
            <w:r>
              <w:t xml:space="preserve">scVI semi-supervised VAE</w:t>
            </w:r>
          </w:p>
        </w:tc>
        <w:tc>
          <w:tcPr/>
          <w:p>
            <w:pPr>
              <w:pStyle w:val="Compact"/>
            </w:pPr>
            <w: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scVI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scArches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[Lotfollahi 2022]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deep</w:t>
            </w:r>
          </w:p>
        </w:tc>
        <w:tc>
          <w:tcPr/>
          <w:p>
            <w:pPr>
              <w:pStyle w:val="Compact"/>
            </w:pPr>
            <w:r>
              <w:t xml:space="preserve">scANVI reference surgery</w:t>
            </w:r>
          </w:p>
        </w:tc>
        <w:tc>
          <w:tcPr/>
          <w:p>
            <w:pPr>
              <w:pStyle w:val="Compact"/>
            </w:pPr>
            <w: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scVI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ProtoCloud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[Guo &amp; Ding 2026]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deep</w:t>
            </w:r>
          </w:p>
        </w:tc>
        <w:tc>
          <w:tcPr/>
          <w:p>
            <w:pPr>
              <w:pStyle w:val="Compact"/>
            </w:pPr>
            <w:r>
              <w:t xml:space="preserve">prototype VAE + LRP attribution</w:t>
            </w:r>
          </w:p>
        </w:tc>
        <w:tc>
          <w:tcPr/>
          <w:p>
            <w:pPr>
              <w:pStyle w:val="Compact"/>
            </w:pPr>
            <w:r>
              <w:t xml:space="preserve">ambiguity flag</w:t>
            </w:r>
          </w:p>
        </w:tc>
        <w:tc>
          <w:tcPr/>
          <w:p>
            <w:pPr>
              <w:pStyle w:val="Compact"/>
            </w:pPr>
            <w:r>
              <w:t xml:space="preserve">PyTorch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scPRINT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[Kalfon 2025]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foundation</w:t>
            </w:r>
          </w:p>
        </w:tc>
        <w:tc>
          <w:tcPr/>
          <w:p>
            <w:pPr>
              <w:pStyle w:val="Compact"/>
            </w:pPr>
            <w:r>
              <w:t xml:space="preserve">pretrained transformer, zero-shot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PyTorch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Pan-human Azimuth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[Sarkar et al. 2026]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pretrained</w:t>
            </w:r>
          </w:p>
        </w:tc>
        <w:tc>
          <w:tcPr/>
          <w:p>
            <w:pPr>
              <w:pStyle w:val="Compact"/>
            </w:pPr>
            <w:r>
              <w:t xml:space="preserve">8-level hierarchical NN, fixed 382-leaf typology</w:t>
            </w:r>
          </w:p>
        </w:tc>
        <w:tc>
          <w:tcPr/>
          <w:p>
            <w:pPr>
              <w:pStyle w:val="Compact"/>
            </w:pPr>
            <w:r>
              <w:t xml:space="preserve">trained</w:t>
            </w:r>
            <w:r>
              <w:t xml:space="preserve"> </w:t>
            </w:r>
            <w:r>
              <w:rPr>
                <w:rStyle w:val="VerbatimChar"/>
              </w:rPr>
              <w:t xml:space="preserve">Unassigned</w:t>
            </w:r>
          </w:p>
        </w:tc>
        <w:tc>
          <w:tcPr/>
          <w:p>
            <w:pPr>
              <w:pStyle w:val="Compact"/>
            </w:pPr>
            <w:r>
              <w:t xml:space="preserve">TensorFlow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1.</w:t>
      </w:r>
      <w:r>
        <w:t xml:space="preserve"> </w:t>
      </w:r>
      <w:r>
        <w:t xml:space="preserve">The benchmarked methods: model family (</w:t>
      </w:r>
      <w:r>
        <w:rPr>
          <w:i/>
          <w:iCs/>
        </w:rPr>
        <w:t xml:space="preserve">tier</w:t>
      </w:r>
      <w:r>
        <w:t xml:space="preserve">), the engine each one actually runs,</w:t>
      </w:r>
      <w:r>
        <w:t xml:space="preserve"> </w:t>
      </w:r>
      <w:r>
        <w:t xml:space="preserve">whether it can decline to call a cell (</w:t>
      </w:r>
      <w:r>
        <w:rPr>
          <w:i/>
          <w:iCs/>
        </w:rPr>
        <w:t xml:space="preserve">rejection</w:t>
      </w:r>
      <w:r>
        <w:t xml:space="preserve">), and the runtime stack it was run on;</w:t>
      </w:r>
      <w:r>
        <w:t xml:space="preserve"> </w:t>
      </w:r>
      <w:r>
        <w:t xml:space="preserve">each has its own pinned environment (§2.5). Bold marks the methods added to this panel here.</w:t>
      </w:r>
    </w:p>
    <w:p>
      <w:pPr>
        <w:pStyle w:val="BodyText"/>
      </w:pPr>
      <w:r>
        <w:t xml:space="preserve">†</w:t>
      </w:r>
      <w:r>
        <w:t xml:space="preserve"> </w:t>
      </w:r>
      <w:r>
        <w:rPr>
          <w:rStyle w:val="VerbatimChar"/>
        </w:rPr>
        <w:t xml:space="preserve">linear-anova-pca</w:t>
      </w:r>
      <w:r>
        <w:t xml:space="preserve"> </w:t>
      </w:r>
      <w:r>
        <w:t xml:space="preserve">has no method paper: it is a baseline assembled here from scikit-learn</w:t>
      </w:r>
      <w:r>
        <w:t xml:space="preserve"> </w:t>
      </w:r>
      <w:r>
        <w:t xml:space="preserve">components, tuned deliberately to be the strongest simple competitor we could build (§1).</w:t>
      </w:r>
    </w:p>
    <w:p>
      <w:pPr>
        <w:pStyle w:val="BodyText"/>
      </w:pPr>
      <w:r>
        <w:rPr>
          <w:b/>
          <w:bCs/>
        </w:rPr>
        <w:t xml:space="preserve">Eleven of the thirteen are trained on each dataset’s own reference</w:t>
      </w:r>
      <w:r>
        <w:t xml:space="preserve"> </w:t>
      </w:r>
      <w:r>
        <w:t xml:space="preserve">and run the full</w:t>
      </w:r>
      <w:r>
        <w:t xml:space="preserve"> </w:t>
      </w:r>
      <w:r>
        <w:t xml:space="preserve">accuracy/cost matrix of §3.1 on all eight splits, so none is compared on a favorable subset.</w:t>
      </w:r>
      <w:r>
        <w:t xml:space="preserve"> </w:t>
      </w:r>
      <w:r>
        <w:t xml:space="preserve">The remaining two are</w:t>
      </w:r>
      <w:r>
        <w:t xml:space="preserve"> </w:t>
      </w:r>
      <w:r>
        <w:rPr>
          <w:b/>
          <w:bCs/>
        </w:rPr>
        <w:t xml:space="preserve">pretrained annotators with fixed label vocabularies</w:t>
      </w:r>
      <w:r>
        <w:t xml:space="preserve">, which changes</w:t>
      </w:r>
      <w:r>
        <w:t xml:space="preserve"> </w:t>
      </w:r>
      <w:r>
        <w:t xml:space="preserve">what can be measured rather than excusing them from measurement: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scPRINT</w:t>
      </w:r>
      <w:r>
        <w:t xml:space="preserve"> </w:t>
      </w:r>
      <w:r>
        <w:t xml:space="preserve">is a zero-shot foundation model over a fixed</w:t>
      </w:r>
      <w:r>
        <w:t xml:space="preserve"> </w:t>
      </w:r>
      <w:r>
        <w:rPr>
          <w:b/>
          <w:bCs/>
        </w:rPr>
        <w:t xml:space="preserve">Cell Ontology (CL)</w:t>
      </w:r>
      <w:r>
        <w:t xml:space="preserve"> </w:t>
      </w:r>
      <w:r>
        <w:t xml:space="preserve">vocabulary —</w:t>
      </w:r>
      <w:r>
        <w:t xml:space="preserve"> </w:t>
      </w:r>
      <w:r>
        <w:t xml:space="preserve">CL is the standard controlled vocabulary of cell types, used throughout as the common</w:t>
      </w:r>
      <w:r>
        <w:t xml:space="preserve"> </w:t>
      </w:r>
      <w:r>
        <w:t xml:space="preserve">ground between datasets that name the same cell differently. scPRINT cannot emit labels</w:t>
      </w:r>
      <w:r>
        <w:t xml:space="preserve"> </w:t>
      </w:r>
      <w:r>
        <w:t xml:space="preserve">outside that set, and skips symbol-keyed datasets.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Pan-human Azimuth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[Sarkar et al. 2026]</w:t>
        </w:r>
      </w:hyperlink>
      <w:r>
        <w:t xml:space="preserve">) is a supervised hierarchical classifier over a</w:t>
      </w:r>
      <w:r>
        <w:t xml:space="preserve"> </w:t>
      </w:r>
      <w:r>
        <w:t xml:space="preserve">single organism-wide typology — 8 levels, 382 leaves, ~7M parameters, a fixed 5,055-gene</w:t>
      </w:r>
      <w:r>
        <w:t xml:space="preserve"> </w:t>
      </w:r>
      <w:r>
        <w:t xml:space="preserve">panel, trained on 9.7M curated cells, with abstention</w:t>
      </w:r>
      <w:r>
        <w:t xml:space="preserve"> </w:t>
      </w:r>
      <w:r>
        <w:rPr>
          <w:i/>
          <w:iCs/>
        </w:rPr>
        <w:t xml:space="preserve">learned rather than thresholded</w:t>
      </w:r>
      <w:r>
        <w:t xml:space="preserve"> </w:t>
      </w:r>
      <w:r>
        <w:t xml:space="preserve">—</w:t>
      </w:r>
      <w:r>
        <w:t xml:space="preserve"> </w:t>
      </w:r>
      <w:r>
        <w:t xml:space="preserve">the model is trained to answer</w:t>
      </w:r>
      <w:r>
        <w:t xml:space="preserve"> </w:t>
      </w:r>
      <w:r>
        <w:rPr>
          <w:rStyle w:val="VerbatimChar"/>
        </w:rPr>
        <w:t xml:space="preserve">Unassigned</w:t>
      </w:r>
      <w:r>
        <w:t xml:space="preserve">, instead of having a probability cutoff applied</w:t>
      </w:r>
      <w:r>
        <w:t xml:space="preserve"> </w:t>
      </w:r>
      <w:r>
        <w:t xml:space="preserve">to its output afterwards. It is the closest published counterpart to this paper’s broad</w:t>
      </w:r>
      <w:r>
        <w:t xml:space="preserve"> </w:t>
      </w:r>
      <w:r>
        <w:t xml:space="preserve">pass, and the teacher we distill in §3.4.</w:t>
      </w:r>
    </w:p>
    <w:p>
      <w:pPr>
        <w:pStyle w:val="FirstParagraph"/>
      </w:pPr>
      <w:r>
        <w:t xml:space="preserve">Neither predicts into the dataset’s label strings, so</w:t>
      </w:r>
      <w:r>
        <w:t xml:space="preserve"> </w:t>
      </w:r>
      <w:r>
        <w:rPr>
          <w:b/>
          <w:bCs/>
        </w:rPr>
        <w:t xml:space="preserve">exact-match accuracy against those</w:t>
      </w:r>
      <w:r>
        <w:rPr>
          <w:b/>
          <w:bCs/>
        </w:rPr>
        <w:t xml:space="preserve"> </w:t>
      </w:r>
      <w:r>
        <w:rPr>
          <w:b/>
          <w:bCs/>
        </w:rPr>
        <w:t xml:space="preserve">strings is a vocabulary artifact, not an accuracy signal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regulatory T cell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Treg cell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non-classical monocyte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CD16 monocyte</w:t>
      </w:r>
      <w:r>
        <w:t xml:space="preserve"> </w:t>
      </w:r>
      <w:r>
        <w:t xml:space="preserve">are correct answers that score zero. Both are</w:t>
      </w:r>
      <w:r>
        <w:t xml:space="preserve"> </w:t>
      </w:r>
      <w:r>
        <w:t xml:space="preserve">therefore scored</w:t>
      </w:r>
      <w:r>
        <w:t xml:space="preserve"> </w:t>
      </w:r>
      <w:r>
        <w:rPr>
          <w:b/>
          <w:bCs/>
        </w:rPr>
        <w:t xml:space="preserve">ontology-only</w:t>
      </w:r>
      <w:r>
        <w:t xml:space="preserve"> </w:t>
      </w:r>
      <w:r>
        <w:t xml:space="preserve">(§2.4) and reported in their own block in §3.1, on the</w:t>
      </w:r>
      <w:r>
        <w:t xml:space="preserve"> </w:t>
      </w:r>
      <w:r>
        <w:t xml:space="preserve">three datasets where reference and query both carry Cell Ontology ids. They appear again in</w:t>
      </w:r>
      <w:r>
        <w:t xml:space="preserve"> </w:t>
      </w:r>
      <w:r>
        <w:t xml:space="preserve">§3.6 (foundation-model zero-shot) and §3.4 (Azimuth as broad pass, and as distillation</w:t>
      </w:r>
      <w:r>
        <w:t xml:space="preserve"> </w:t>
      </w:r>
      <w:r>
        <w:t xml:space="preserve">teacher).</w:t>
      </w:r>
    </w:p>
    <w:p>
      <w:pPr>
        <w:pStyle w:val="BodyText"/>
      </w:pPr>
      <w:r>
        <w:rPr>
          <w:b/>
          <w:bCs/>
        </w:rPr>
        <w:t xml:space="preserve">scPred</w:t>
      </w:r>
      <w:r>
        <w:t xml:space="preserve"> </w:t>
      </w:r>
      <w:r>
        <w:t xml:space="preserve">is not included: it is unmaintained, and no longer installs against current</w:t>
      </w:r>
      <w:r>
        <w:t xml:space="preserve"> </w:t>
      </w:r>
      <w:r>
        <w:t xml:space="preserve">releases of the harmony dependency it builds on.</w:t>
      </w:r>
    </w:p>
    <w:bookmarkEnd w:id="26"/>
    <w:bookmarkStart w:id="32" w:name="datasets"/>
    <w:p>
      <w:pPr>
        <w:pStyle w:val="Heading2"/>
      </w:pPr>
      <w:r>
        <w:t xml:space="preserve">Datasets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218"/>
        <w:gridCol w:w="852"/>
        <w:gridCol w:w="1340"/>
        <w:gridCol w:w="731"/>
        <w:gridCol w:w="852"/>
        <w:gridCol w:w="13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tissue</w:t>
            </w:r>
          </w:p>
        </w:tc>
        <w:tc>
          <w:tcPr/>
          <w:p>
            <w:pPr>
              <w:pStyle w:val="Compact"/>
            </w:pPr>
            <w:r>
              <w:t xml:space="preserve">#types</w:t>
            </w:r>
          </w:p>
        </w:tc>
        <w:tc>
          <w:tcPr/>
          <w:p>
            <w:pPr>
              <w:pStyle w:val="Compact"/>
            </w:pPr>
            <w:r>
              <w:t xml:space="preserve">genes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lung_intra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[Travaglini 2020]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lung (Krasnow)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300 cells/type ref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lung_cross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[Sikkema 2023]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[Travaglini 2020]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cross-dataset</w:t>
            </w:r>
          </w:p>
        </w:tc>
        <w:tc>
          <w:tcPr/>
          <w:p>
            <w:pPr>
              <w:pStyle w:val="Compact"/>
            </w:pPr>
            <w:r>
              <w:t xml:space="preserve">lung (HLCA → Krasnow)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different lab/protocol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liver_intra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[Edgar 2026]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liver (HLiCA)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150 cells/type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liver_cross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[Edgar 2026]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cross-</w:t>
            </w:r>
            <w:r>
              <w:rPr>
                <w:b/>
                <w:bCs/>
              </w:rPr>
              <w:t xml:space="preserve">study</w:t>
            </w:r>
          </w:p>
        </w:tc>
        <w:tc>
          <w:tcPr/>
          <w:p>
            <w:pPr>
              <w:pStyle w:val="Compact"/>
            </w:pPr>
            <w:r>
              <w:t xml:space="preserve">liver (HLiCA)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train 6 studies → test withheld study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blood_gut_intra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[Alegbe 2026]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blood + gut (IBDverse)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high cardinality; no CL ids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pbmc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[10x Genomics 2016]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PBMC (pbmc3k)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symbols</w:t>
            </w:r>
          </w:p>
        </w:tc>
        <w:tc>
          <w:tcPr/>
          <w:p>
            <w:pPr>
              <w:pStyle w:val="Compact"/>
            </w:pPr>
            <w:r>
              <w:t xml:space="preserve">small-n; scPRINT skips (symbols)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brain_intra</w:t>
            </w:r>
          </w:p>
        </w:tc>
        <w:tc>
          <w:tcPr/>
          <w:p>
            <w:pPr>
              <w:pStyle w:val="Compact"/>
            </w:pPr>
            <w:r>
              <w:t xml:space="preserve">[Jorstad 2023]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brain, MTG (Allen)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single nuclei; Allen subclasses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brain_cluster</w:t>
            </w:r>
          </w:p>
        </w:tc>
        <w:tc>
          <w:tcPr/>
          <w:p>
            <w:pPr>
              <w:pStyle w:val="Compact"/>
            </w:pPr>
            <w:r>
              <w:t xml:space="preserve">[Jorstad 2023]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brain, MTG (Allen)</w:t>
            </w:r>
          </w:p>
        </w:tc>
        <w:tc>
          <w:tcPr/>
          <w:p>
            <w:pPr>
              <w:pStyle w:val="Compact"/>
            </w:pPr>
            <w:r>
              <w:t xml:space="preserve">151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same nuclei, CCN cell sets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2.</w:t>
      </w:r>
      <w:r>
        <w:t xml:space="preserve"> </w:t>
      </w:r>
      <w:r>
        <w:t xml:space="preserve">The eight benchmark splits, over seven datasets — brain appears twice because the</w:t>
      </w:r>
      <w:r>
        <w:t xml:space="preserve"> </w:t>
      </w:r>
      <w:r>
        <w:t xml:space="preserve">same nuclei are scored at two levels of one taxonomy.</w:t>
      </w:r>
      <w:r>
        <w:t xml:space="preserve"> </w:t>
      </w:r>
      <w:r>
        <w:rPr>
          <w:i/>
          <w:iCs/>
        </w:rPr>
        <w:t xml:space="preserve">split</w:t>
      </w:r>
      <w:r>
        <w:t xml:space="preserve"> </w:t>
      </w:r>
      <w:r>
        <w:t xml:space="preserve">separates within-dataset</w:t>
      </w:r>
      <w:r>
        <w:t xml:space="preserve"> </w:t>
      </w:r>
      <w:r>
        <w:t xml:space="preserve">holdouts from cross-dataset and cross-study transfer;</w:t>
      </w:r>
      <w:r>
        <w:t xml:space="preserve"> </w:t>
      </w:r>
      <w:r>
        <w:rPr>
          <w:i/>
          <w:iCs/>
        </w:rPr>
        <w:t xml:space="preserve">genes</w:t>
      </w:r>
      <w:r>
        <w:t xml:space="preserve"> </w:t>
      </w:r>
      <w:r>
        <w:t xml:space="preserve">records whether the matrix is</w:t>
      </w:r>
      <w:r>
        <w:t xml:space="preserve"> </w:t>
      </w:r>
      <w:r>
        <w:t xml:space="preserve">keyed by Ensembl ids or by gene symbols, since a method or reference built on one convention</w:t>
      </w:r>
      <w:r>
        <w:t xml:space="preserve"> </w:t>
      </w:r>
      <w:r>
        <w:t xml:space="preserve">cannot read the other without remapping.</w:t>
      </w:r>
    </w:p>
    <w:p>
      <w:pPr>
        <w:pStyle w:val="BodyText"/>
      </w:pPr>
      <w:r>
        <w:t xml:space="preserve">The blood+gut set is a subsample of</w:t>
      </w:r>
      <w:r>
        <w:t xml:space="preserve"> </w:t>
      </w:r>
      <w:r>
        <w:rPr>
          <w:b/>
          <w:bCs/>
        </w:rPr>
        <w:t xml:space="preserve">IBDverse</w:t>
      </w:r>
      <w:r>
        <w:t xml:space="preserve"> </w:t>
      </w:r>
      <w:r>
        <w:t xml:space="preserve">(Wellcome Sanger Institute; blood, terminal</w:t>
      </w:r>
      <w:r>
        <w:t xml:space="preserve"> </w:t>
      </w:r>
      <w:r>
        <w:t xml:space="preserve">ileum and rectum from 421 individuals), included here because 86 fine-grained labels make it</w:t>
      </w:r>
      <w:r>
        <w:t xml:space="preserve"> </w:t>
      </w:r>
      <w:r>
        <w:t xml:space="preserve">the high-cardinality stress case for the panel. It carries no Cell Ontology ids, so it</w:t>
      </w:r>
      <w:r>
        <w:t xml:space="preserve"> </w:t>
      </w:r>
      <w:r>
        <w:t xml:space="preserve">contributes to accuracy and macro-F1 but to no ontology-scored result.</w:t>
      </w:r>
    </w:p>
    <w:p>
      <w:pPr>
        <w:pStyle w:val="BodyText"/>
      </w:pPr>
      <w:r>
        <w:t xml:space="preserve">The brain set is single nuclei from the Allen Institute’s human</w:t>
      </w:r>
      <w:r>
        <w:t xml:space="preserve"> </w:t>
      </w:r>
      <w:r>
        <w:rPr>
          <w:b/>
          <w:bCs/>
        </w:rPr>
        <w:t xml:space="preserve">middle temporal gyrus</w:t>
      </w:r>
      <w:r>
        <w:t xml:space="preserve"> </w:t>
      </w:r>
      <w:r>
        <w:t xml:space="preserve">taxonomy [Jorstad 2023], the same query used in the multi-reference agreement experiment of</w:t>
      </w:r>
      <w:r>
        <w:t xml:space="preserve"> </w:t>
      </w:r>
      <w:r>
        <w:t xml:space="preserve">§3.4. It enters twice, at two levels of that taxonomy:</w:t>
      </w:r>
      <w:r>
        <w:t xml:space="preserve"> </w:t>
      </w:r>
      <w:r>
        <w:rPr>
          <w:rStyle w:val="VerbatimChar"/>
          <w:b/>
          <w:bCs/>
        </w:rPr>
        <w:t xml:space="preserve">Subclass</w:t>
      </w:r>
      <w:r>
        <w:t xml:space="preserve"> </w:t>
      </w:r>
      <w:r>
        <w:t xml:space="preserve">(24 types, ~300 cells</w:t>
      </w:r>
      <w:r>
        <w:t xml:space="preserve"> </w:t>
      </w:r>
      <w:r>
        <w:t xml:space="preserve">each), the standard annotation level, and</w:t>
      </w:r>
      <w:r>
        <w:t xml:space="preserve"> </w:t>
      </w:r>
      <w:r>
        <w:rPr>
          <w:rStyle w:val="VerbatimChar"/>
          <w:b/>
          <w:bCs/>
        </w:rPr>
        <w:t xml:space="preserve">Cluster</w:t>
      </w:r>
      <w:r>
        <w:t xml:space="preserve"> </w:t>
      </w:r>
      <w:r>
        <w:t xml:space="preserve">(151 types, ~100 cells each), whose</w:t>
      </w:r>
      <w:r>
        <w:t xml:space="preserve"> </w:t>
      </w:r>
      <w:r>
        <w:t xml:space="preserve">members are the cell sets</w:t>
      </w:r>
      <w:r>
        <w:t xml:space="preserve"> </w:t>
      </w:r>
      <w:r>
        <w:rPr>
          <w:rStyle w:val="VerbatimChar"/>
        </w:rPr>
        <w:t xml:space="preserve">CCN201908210</w:t>
      </w:r>
      <w:r>
        <w:t xml:space="preserve"> </w:t>
      </w:r>
      <w:r>
        <w:t xml:space="preserve">enumerates. Only the 10x 3′ v3 nuclei are kept</w:t>
      </w:r>
      <w:r>
        <w:t xml:space="preserve"> </w:t>
      </w:r>
      <w:r>
        <w:t xml:space="preserve">(141,782 of 156,285); the remaining Smart-seq v4 nuclei would put a full-length protocol on</w:t>
      </w:r>
      <w:r>
        <w:t xml:space="preserve"> </w:t>
      </w:r>
      <w:r>
        <w:t xml:space="preserve">one side of a within-dataset split.</w:t>
      </w:r>
    </w:p>
    <w:p>
      <w:pPr>
        <w:pStyle w:val="BodyText"/>
      </w:pPr>
      <w:r>
        <w:t xml:space="preserve">Both levels are scored by exact match alone. The Cell Ontology collapses the five</w:t>
      </w:r>
      <w:r>
        <w:t xml:space="preserve"> </w:t>
      </w:r>
      <w:r>
        <w:t xml:space="preserve">intratelencephalic subclasses (</w:t>
      </w:r>
      <w:r>
        <w:rPr>
          <w:rStyle w:val="VerbatimChar"/>
        </w:rPr>
        <w:t xml:space="preserve">L2/3 IT</w:t>
      </w:r>
      <w:r>
        <w:t xml:space="preserve">,</w:t>
      </w:r>
      <w:r>
        <w:t xml:space="preserve"> </w:t>
      </w:r>
      <w:r>
        <w:rPr>
          <w:rStyle w:val="VerbatimChar"/>
        </w:rPr>
        <w:t xml:space="preserve">L4 IT</w:t>
      </w:r>
      <w:r>
        <w:t xml:space="preserve">,</w:t>
      </w:r>
      <w:r>
        <w:t xml:space="preserve"> </w:t>
      </w:r>
      <w:r>
        <w:rPr>
          <w:rStyle w:val="VerbatimChar"/>
        </w:rPr>
        <w:t xml:space="preserve">L5 IT</w:t>
      </w:r>
      <w:r>
        <w:t xml:space="preserve">,</w:t>
      </w:r>
      <w:r>
        <w:t xml:space="preserve"> </w:t>
      </w:r>
      <w:r>
        <w:rPr>
          <w:rStyle w:val="VerbatimChar"/>
        </w:rPr>
        <w:t xml:space="preserve">L6 IT</w:t>
      </w:r>
      <w:r>
        <w:t xml:space="preserve">,</w:t>
      </w:r>
      <w:r>
        <w:t xml:space="preserve"> </w:t>
      </w:r>
      <w:r>
        <w:rPr>
          <w:rStyle w:val="VerbatimChar"/>
        </w:rPr>
        <w:t xml:space="preserve">L6 IT Car3</w:t>
      </w:r>
      <w:r>
        <w:t xml:space="preserve">) into one</w:t>
      </w:r>
      <w:r>
        <w:t xml:space="preserve"> </w:t>
      </w:r>
      <w:r>
        <w:t xml:space="preserve">term and merges</w:t>
      </w:r>
      <w:r>
        <w:t xml:space="preserve"> </w:t>
      </w:r>
      <w:r>
        <w:rPr>
          <w:rStyle w:val="VerbatimChar"/>
        </w:rPr>
        <w:t xml:space="preserve">Lamp5</w:t>
      </w:r>
      <w:r>
        <w:t xml:space="preserve">/</w:t>
      </w:r>
      <w:r>
        <w:rPr>
          <w:rStyle w:val="VerbatimChar"/>
        </w:rPr>
        <w:t xml:space="preserve">Lamp5_Lhx6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Sst</w:t>
      </w:r>
      <w:r>
        <w:t xml:space="preserve">/</w:t>
      </w:r>
      <w:r>
        <w:rPr>
          <w:rStyle w:val="VerbatimChar"/>
        </w:rPr>
        <w:t xml:space="preserve">Sst Chodl</w:t>
      </w:r>
      <w:r>
        <w:t xml:space="preserve">, leaving</w:t>
      </w:r>
      <w:r>
        <w:t xml:space="preserve"> </w:t>
      </w:r>
      <w:r>
        <w:rPr>
          <w:b/>
          <w:bCs/>
        </w:rPr>
        <w:t xml:space="preserve">18 terms for the 24</w:t>
      </w:r>
      <w:r>
        <w:rPr>
          <w:b/>
          <w:bCs/>
        </w:rPr>
        <w:t xml:space="preserve"> </w:t>
      </w:r>
      <w:r>
        <w:rPr>
          <w:b/>
          <w:bCs/>
        </w:rPr>
        <w:t xml:space="preserve">subclasses</w:t>
      </w:r>
      <w:r>
        <w:t xml:space="preserve"> </w:t>
      </w:r>
      <w:r>
        <w:t xml:space="preserve">and none for the 151 clusters, so an ontology-aware score would credit a method</w:t>
      </w:r>
      <w:r>
        <w:t xml:space="preserve"> </w:t>
      </w:r>
      <w:r>
        <w:t xml:space="preserve">for confusing cortical layers. Brain therefore contributes accuracy and macro-F1 and no</w:t>
      </w:r>
      <w:r>
        <w:t xml:space="preserve"> </w:t>
      </w:r>
      <w:r>
        <w:t xml:space="preserve">ontology-scored result, as blood+gut does for a different reason. §3.4 returns to this gap.</w:t>
      </w:r>
    </w:p>
    <w:p>
      <w:pPr>
        <w:pStyle w:val="BodyText"/>
      </w:pPr>
      <w:r>
        <w:t xml:space="preserve">The set spans the three generalization regimes (within-dataset, across datasets, across</w:t>
      </w:r>
      <w:r>
        <w:t xml:space="preserve"> </w:t>
      </w:r>
      <w:r>
        <w:t xml:space="preserve">studies), more than an order of magnitude in cell-type count (8→151), five tissues (lung,</w:t>
      </w:r>
      <w:r>
        <w:t xml:space="preserve"> </w:t>
      </w:r>
      <w:r>
        <w:t xml:space="preserve">liver, blood, gut, brain), whole cells and single nuclei, and both gene-ID conventions.</w:t>
      </w:r>
    </w:p>
    <w:bookmarkEnd w:id="32"/>
    <w:bookmarkStart w:id="34" w:name="metrics"/>
    <w:p>
      <w:pPr>
        <w:pStyle w:val="Heading2"/>
      </w:pPr>
      <w:r>
        <w:t xml:space="preserve">Metrics</w:t>
      </w:r>
    </w:p>
    <w:p>
      <w:pPr>
        <w:pStyle w:val="FirstParagraph"/>
      </w:pPr>
      <w:r>
        <w:t xml:space="preserve">Per (dataset, method, repeat):</w:t>
      </w:r>
      <w:r>
        <w:t xml:space="preserve"> </w:t>
      </w:r>
      <w:r>
        <w:rPr>
          <w:b/>
          <w:bCs/>
        </w:rPr>
        <w:t xml:space="preserve">accuracy</w:t>
      </w:r>
      <w:r>
        <w:t xml:space="preserve">;</w:t>
      </w:r>
      <w:r>
        <w:t xml:space="preserve"> </w:t>
      </w:r>
      <w:r>
        <w:rPr>
          <w:b/>
          <w:bCs/>
        </w:rPr>
        <w:t xml:space="preserve">macro-F1</w:t>
      </w:r>
      <w:r>
        <w:t xml:space="preserve">, unweighted over classes so rare</w:t>
      </w:r>
      <w:r>
        <w:t xml:space="preserve"> </w:t>
      </w:r>
      <w:r>
        <w:t xml:space="preserve">types count as much as common ones;</w:t>
      </w:r>
      <w:r>
        <w:t xml:space="preserve"> </w:t>
      </w:r>
      <w:r>
        <w:rPr>
          <w:b/>
          <w:bCs/>
        </w:rPr>
        <w:t xml:space="preserve">ontology-aware concordance</w:t>
      </w:r>
      <w:r>
        <w:t xml:space="preserve">;</w:t>
      </w:r>
      <w:r>
        <w:t xml:space="preserve"> </w:t>
      </w:r>
      <w:r>
        <w:rPr>
          <w:b/>
          <w:bCs/>
        </w:rPr>
        <w:t xml:space="preserve">fit time</w:t>
      </w:r>
      <w:r>
        <w:t xml:space="preserve">,</w:t>
      </w:r>
      <w:r>
        <w:t xml:space="preserve"> </w:t>
      </w:r>
      <w:r>
        <w:rPr>
          <w:b/>
          <w:bCs/>
        </w:rPr>
        <w:t xml:space="preserve">predict</w:t>
      </w:r>
      <w:r>
        <w:rPr>
          <w:b/>
          <w:bCs/>
        </w:rPr>
        <w:t xml:space="preserve"> </w:t>
      </w:r>
      <w:r>
        <w:rPr>
          <w:b/>
          <w:bCs/>
        </w:rPr>
        <w:t xml:space="preserve">time</w:t>
      </w:r>
      <w:r>
        <w:t xml:space="preserve">, and</w:t>
      </w:r>
      <w:r>
        <w:t xml:space="preserve"> </w:t>
      </w:r>
      <w:r>
        <w:rPr>
          <w:b/>
          <w:bCs/>
        </w:rPr>
        <w:t xml:space="preserve">peak memory</w:t>
      </w:r>
      <w:r>
        <w:t xml:space="preserve"> </w:t>
      </w:r>
      <w:r>
        <w:t xml:space="preserve">(peak RSS, resident set size — the maximum physical memory the process</w:t>
      </w:r>
      <w:r>
        <w:t xml:space="preserve"> </w:t>
      </w:r>
      <w:r>
        <w:t xml:space="preserve">held).</w:t>
      </w:r>
    </w:p>
    <w:p>
      <w:pPr>
        <w:pStyle w:val="BodyText"/>
      </w:pPr>
      <w:r>
        <w:rPr>
          <w:b/>
          <w:bCs/>
        </w:rPr>
        <w:t xml:space="preserve">Ontology-aware concordance</w:t>
      </w:r>
      <w:r>
        <w:t xml:space="preserve"> </w:t>
      </w:r>
      <w:r>
        <w:t xml:space="preserve">credits a call that is the same node, an ancestor, or a</w:t>
      </w:r>
      <w:r>
        <w:t xml:space="preserve"> </w:t>
      </w:r>
      <w:r>
        <w:t xml:space="preserve">descendant of the truth in the Cell Ontology. It exists because cell-type vocabularies</w:t>
      </w:r>
      <w:r>
        <w:t xml:space="preserve"> </w:t>
      </w:r>
      <w:r>
        <w:t xml:space="preserve">disagree about granularity more than about biology:</w:t>
      </w:r>
      <w:r>
        <w:t xml:space="preserve"> </w:t>
      </w:r>
      <w:r>
        <w:rPr>
          <w:rStyle w:val="VerbatimChar"/>
        </w:rPr>
        <w:t xml:space="preserve">periportal region hepatocyte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Hepatocyte</w:t>
      </w:r>
      <w:r>
        <w:t xml:space="preserve"> </w:t>
      </w:r>
      <w:r>
        <w:t xml:space="preserve">is a right-lineage-wrong-depth call. Exact match scores it as a total failure,</w:t>
      </w:r>
      <w:r>
        <w:t xml:space="preserve"> </w:t>
      </w:r>
      <w:r>
        <w:t xml:space="preserve">though the lineage is correct and only the depth is wrong. It is the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metric that compares methods with</w:t>
      </w:r>
      <w:r>
        <w:t xml:space="preserve"> </w:t>
      </w:r>
      <w:r>
        <w:t xml:space="preserve">different label vocabularies (§2.2), and it is reported only where both reference and query</w:t>
      </w:r>
      <w:r>
        <w:t xml:space="preserve"> </w:t>
      </w:r>
      <w:r>
        <w:t xml:space="preserve">carry CL ids — so not on</w:t>
      </w:r>
      <w:r>
        <w:t xml:space="preserve"> </w:t>
      </w:r>
      <w:r>
        <w:rPr>
          <w:rStyle w:val="VerbatimChar"/>
        </w:rPr>
        <w:t xml:space="preserve">blood_gut_intra</w:t>
      </w:r>
      <w:r>
        <w:t xml:space="preserve">, and not on the symbol-keyed</w:t>
      </w:r>
      <w:r>
        <w:t xml:space="preserve"> </w:t>
      </w:r>
      <w:r>
        <w:rPr>
          <w:rStyle w:val="VerbatimChar"/>
        </w:rPr>
        <w:t xml:space="preserve">pbmc</w:t>
      </w:r>
      <w:r>
        <w:t xml:space="preserve">.</w:t>
      </w:r>
    </w:p>
    <w:p>
      <w:pPr>
        <w:pStyle w:val="BodyText"/>
      </w:pPr>
      <w:r>
        <w:t xml:space="preserve">Concordance depends on the ontology release, since ancestor sets change between them. All</w:t>
      </w:r>
      <w:r>
        <w:t xml:space="preserve"> </w:t>
      </w:r>
      <w:r>
        <w:t xml:space="preserve">numbers here use the</w:t>
      </w:r>
      <w:r>
        <w:t xml:space="preserve"> </w:t>
      </w:r>
      <w:r>
        <w:rPr>
          <w:b/>
          <w:bCs/>
        </w:rPr>
        <w:t xml:space="preserve">Cell Ontology basic release of 2026-06-08</w:t>
      </w:r>
      <w:r>
        <w:t xml:space="preserve"> </w:t>
      </w:r>
      <w:r>
        <w:t xml:space="preserve">(sha256 73996c63…),</w:t>
      </w:r>
      <w:r>
        <w:t xml:space="preserve"> </w:t>
      </w:r>
      <w:r>
        <w:t xml:space="preserve">resolved once and reused by every scoring pass. Scoring lung_cross against a later-fetched</w:t>
      </w:r>
      <w:r>
        <w:t xml:space="preserve"> </w:t>
      </w:r>
      <w:r>
        <w:t xml:space="preserve">release reproduces the splits exactly (14,390 reference / 13,550 query cells) and still moves</w:t>
      </w:r>
      <w:r>
        <w:t xml:space="preserve"> </w:t>
      </w:r>
      <w:r>
        <w:t xml:space="preserve">concordance by 0.003, with no model changing.</w:t>
      </w:r>
      <w:r>
        <w:t xml:space="preserve"> </w:t>
      </w:r>
      <w:r>
        <w:t xml:space="preserve">That release, its checksum, and pinned versions for all six benchmark environments are</w:t>
      </w:r>
      <w:r>
        <w:t xml:space="preserve"> </w:t>
      </w:r>
      <w:r>
        <w:t xml:space="preserve">recorded as lockfiles in the</w:t>
      </w:r>
      <w:r>
        <w:t xml:space="preserve"> </w:t>
      </w:r>
      <w:hyperlink r:id="rId33">
        <w:r>
          <w:rPr>
            <w:rStyle w:val="Hyperlink"/>
          </w:rPr>
          <w:t xml:space="preserve">benchmark repository</w:t>
        </w:r>
      </w:hyperlink>
      <w:r>
        <w:t xml:space="preserve">, which also carries a command that</w:t>
      </w:r>
      <w:r>
        <w:t xml:space="preserve"> </w:t>
      </w:r>
      <w:r>
        <w:t xml:space="preserve">reports any drift from them.</w:t>
      </w:r>
    </w:p>
    <w:p>
      <w:pPr>
        <w:pStyle w:val="BodyText"/>
      </w:pPr>
      <w:r>
        <w:t xml:space="preserve">Exact-match accuracy is reported for the ten reference-trained methods and, on</w:t>
      </w:r>
      <w:r>
        <w:t xml:space="preserve"> </w:t>
      </w:r>
      <w:r>
        <w:rPr>
          <w:rStyle w:val="VerbatimChar"/>
        </w:rPr>
        <w:t xml:space="preserve">lung_cross</w:t>
      </w:r>
      <w:r>
        <w:t xml:space="preserve">,</w:t>
      </w:r>
      <w:r>
        <w:t xml:space="preserve"> </w:t>
      </w:r>
      <w:r>
        <w:t xml:space="preserve">flagged: reference and query use different label vocabularies there, so its exact-match accuracy is</w:t>
      </w:r>
      <w:r>
        <w:t xml:space="preserve"> </w:t>
      </w:r>
      <w:r>
        <w:t xml:space="preserve">a vocabulary artifact and the ranking, not the level, is what transfers.</w:t>
      </w:r>
    </w:p>
    <w:bookmarkEnd w:id="34"/>
    <w:bookmarkStart w:id="35" w:name="harness-isolation-and-hardware"/>
    <w:p>
      <w:pPr>
        <w:pStyle w:val="Heading2"/>
      </w:pPr>
      <w:r>
        <w:t xml:space="preserve">Harness, isolation, and hardware</w:t>
      </w:r>
    </w:p>
    <w:p>
      <w:pPr>
        <w:pStyle w:val="FirstParagraph"/>
      </w:pPr>
      <w:r>
        <w:t xml:space="preserve">Each method runs in</w:t>
      </w:r>
      <w:r>
        <w:t xml:space="preserve"> </w:t>
      </w:r>
      <w:r>
        <w:rPr>
          <w:b/>
          <w:bCs/>
        </w:rPr>
        <w:t xml:space="preserve">its own virtual environment, as a separate process</w:t>
      </w:r>
      <w:r>
        <w:t xml:space="preserve">, because the</w:t>
      </w:r>
      <w:r>
        <w:t xml:space="preserve"> </w:t>
      </w:r>
      <w:r>
        <w:t xml:space="preserve">dependency sets are mutually unsatisfiable — scVI-based methods, TensorFlow/Keras (Pan-human</w:t>
      </w:r>
      <w:r>
        <w:t xml:space="preserve"> </w:t>
      </w:r>
      <w:r>
        <w:t xml:space="preserve">Azimuth), R (SingleR, scmap) and the JAX core cannot coexist in one interpreter. One driver</w:t>
      </w:r>
      <w:r>
        <w:t xml:space="preserve"> </w:t>
      </w:r>
      <w:r>
        <w:t xml:space="preserve">builds the reference/query split</w:t>
      </w:r>
      <w:r>
        <w:t xml:space="preserve"> </w:t>
      </w:r>
      <w:r>
        <w:rPr>
          <w:b/>
          <w:bCs/>
        </w:rPr>
        <w:t xml:space="preserve">once per dataset</w:t>
      </w:r>
      <w:r>
        <w:t xml:space="preserve"> </w:t>
      </w:r>
      <w:r>
        <w:t xml:space="preserve">from a fixed seed and hands the</w:t>
      </w:r>
      <w:r>
        <w:t xml:space="preserve"> </w:t>
      </w:r>
      <w:r>
        <w:t xml:space="preserve">identical pair to every method, so no method sees a different split.</w:t>
      </w:r>
      <w:r>
        <w:t xml:space="preserve"> </w:t>
      </w:r>
      <w:r>
        <w:rPr>
          <w:b/>
          <w:bCs/>
        </w:rPr>
        <w:t xml:space="preserve">repeats = 3</w:t>
      </w:r>
      <w:r>
        <w:t xml:space="preserve">; scPRINT and Pan-human Azimuth run once</w:t>
      </w:r>
      <w:r>
        <w:t xml:space="preserve"> </w:t>
      </w:r>
      <w:r>
        <w:t xml:space="preserve">each, being deterministic given a fixed query and dominated by a single forward pass.</w:t>
      </w:r>
    </w:p>
    <w:p>
      <w:pPr>
        <w:pStyle w:val="BodyText"/>
      </w:pPr>
      <w:r>
        <w:t xml:space="preserve">Resource accounting is per subprocess: fit and predict are timed separately and peak memory is</w:t>
      </w:r>
      <w:r>
        <w:t xml:space="preserve"> </w:t>
      </w:r>
      <w:r>
        <w:t xml:space="preserve">sampled by a monitor thread in the child, so one method’s footprint cannot be attributed to</w:t>
      </w:r>
      <w:r>
        <w:t xml:space="preserve"> </w:t>
      </w:r>
      <w:r>
        <w:t xml:space="preserve">another.</w:t>
      </w:r>
    </w:p>
    <w:p>
      <w:pPr>
        <w:pStyle w:val="BodyText"/>
      </w:pPr>
      <w:r>
        <w:rPr>
          <w:b/>
          <w:bCs/>
        </w:rPr>
        <w:t xml:space="preserve">Hardware</w:t>
      </w:r>
      <w:r>
        <w:t xml:space="preserve">: Apple Silicon (M-series), CPU for the classical, linear, correlation and</w:t>
      </w:r>
      <w:r>
        <w:t xml:space="preserve"> </w:t>
      </w:r>
      <w:r>
        <w:t xml:space="preserve">pretrained tiers and for actinn-jax; Apple MPS for the deep and foundation tiers. No discrete</w:t>
      </w:r>
      <w:r>
        <w:t xml:space="preserve"> </w:t>
      </w:r>
      <w:r>
        <w:t xml:space="preserve">GPU, no cloud — the regime the benchmark is about. Math-library threads are left uncapped, so</w:t>
      </w:r>
      <w:r>
        <w:t xml:space="preserve"> </w:t>
      </w:r>
      <w:r>
        <w:t xml:space="preserve">wall-clock is what a practitioner sees; an optional thread cap exists for stricter</w:t>
      </w:r>
      <w:r>
        <w:t xml:space="preserve"> </w:t>
      </w:r>
      <w:r>
        <w:t xml:space="preserve">reproducibility. §3.7 repeats the comparison on one cloud CPU instance, where methods</w:t>
      </w:r>
      <w:r>
        <w:t xml:space="preserve"> </w:t>
      </w:r>
      <w:r>
        <w:t xml:space="preserve">compete for cores; §2.10 explains how that is handled.</w:t>
      </w:r>
    </w:p>
    <w:bookmarkEnd w:id="35"/>
    <w:bookmarkStart w:id="37" w:name="building-a-broad-reference"/>
    <w:p>
      <w:pPr>
        <w:pStyle w:val="Heading2"/>
      </w:pPr>
      <w:r>
        <w:t xml:space="preserve">Building a broad reference</w:t>
      </w:r>
    </w:p>
    <w:p>
      <w:pPr>
        <w:pStyle w:val="FirstParagraph"/>
      </w:pPr>
      <w:r>
        <w:t xml:space="preserve">The bundled broad-pass references (§3.4) are built once, offline, by a three-stage pipeline</w:t>
      </w:r>
      <w:r>
        <w:t xml:space="preserve"> </w:t>
      </w:r>
      <w:r>
        <w:t xml:space="preserve">driven by one command in the</w:t>
      </w:r>
      <w:r>
        <w:t xml:space="preserve"> </w:t>
      </w:r>
      <w:hyperlink r:id="rId33">
        <w:r>
          <w:rPr>
            <w:rStyle w:val="Hyperlink"/>
          </w:rPr>
          <w:t xml:space="preserve">benchmark repository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Sampling.</w:t>
      </w:r>
      <w:r>
        <w:t xml:space="preserve"> </w:t>
      </w:r>
      <w:r>
        <w:t xml:space="preserve">Every primary cell for one organism in the CELLxGENE Census</w:t>
      </w:r>
      <w:r>
        <w:t xml:space="preserve"> </w:t>
      </w:r>
      <w:hyperlink r:id="rId36">
        <w:r>
          <w:rPr>
            <w:rStyle w:val="Hyperlink"/>
          </w:rPr>
          <w:t xml:space="preserve">[CZI Census 2025]</w:t>
        </w:r>
      </w:hyperlink>
      <w:r>
        <w:t xml:space="preserve"> </w:t>
      </w:r>
      <w:r>
        <w:t xml:space="preserve">— primary meaning the copy the census designates canonical, so cells deposited in more than</w:t>
      </w:r>
      <w:r>
        <w:t xml:space="preserve"> </w:t>
      </w:r>
      <w:r>
        <w:t xml:space="preserve">one study are counted once — stratified by cell type at a fixed cap per type: 40 for</w:t>
      </w:r>
      <w:r>
        <w:t xml:space="preserve"> </w:t>
      </w:r>
      <w:r>
        <w:rPr>
          <w:rStyle w:val="VerbatimChar"/>
        </w:rPr>
        <w:t xml:space="preserve">broad_human_v1</w:t>
      </w:r>
      <w:r>
        <w:t xml:space="preserve">, 60 for the later human and mouse pulls. Types with fewer than 12 cells are</w:t>
      </w:r>
      <w:r>
        <w:t xml:space="preserve"> </w:t>
      </w:r>
      <w:r>
        <w:t xml:space="preserve">dropped, as are labels that carry no information (</w:t>
      </w:r>
      <w:r>
        <w:t xml:space="preserve">“unknown”</w:t>
      </w:r>
      <w:r>
        <w:t xml:space="preserve">,</w:t>
      </w:r>
      <w:r>
        <w:t xml:space="preserve"> </w:t>
      </w:r>
      <w:r>
        <w:t xml:space="preserve">“native cell”</w:t>
      </w:r>
      <w:r>
        <w:t xml:space="preserve">,</w:t>
      </w:r>
      <w:r>
        <w:t xml:space="preserve"> </w:t>
      </w:r>
      <w:r>
        <w:t xml:space="preserve">“eukaryotic</w:t>
      </w:r>
      <w:r>
        <w:t xml:space="preserve"> </w:t>
      </w:r>
      <w:r>
        <w:t xml:space="preserve">cell”</w:t>
      </w:r>
      <w:r>
        <w:t xml:space="preserve">,</w:t>
      </w:r>
      <w:r>
        <w:t xml:space="preserve"> </w:t>
      </w:r>
      <w:r>
        <w:t xml:space="preserve">“animal cell”</w:t>
      </w:r>
      <w:r>
        <w:t xml:space="preserve">). The pull is checkpointed every ten datasets and retried, since</w:t>
      </w:r>
      <w:r>
        <w:t xml:space="preserve"> </w:t>
      </w:r>
      <w:r>
        <w:t xml:space="preserve">transient object-store read errors are routine at this scale. Genes are carried under both</w:t>
      </w:r>
      <w:r>
        <w:t xml:space="preserve"> </w:t>
      </w:r>
      <w:r>
        <w:t xml:space="preserve">Ensembl ids and symbols, because a symbol-keyed consumer cannot use an Ensembl-only pull.</w:t>
      </w:r>
      <w:r>
        <w:t xml:space="preserve"> </w:t>
      </w:r>
      <w:r>
        <w:t xml:space="preserve">The census</w:t>
      </w:r>
      <w:r>
        <w:t xml:space="preserve"> </w:t>
      </w:r>
      <w:r>
        <w:t xml:space="preserve">“stable”</w:t>
      </w:r>
      <w:r>
        <w:t xml:space="preserve"> </w:t>
      </w:r>
      <w:r>
        <w:t xml:space="preserve">alias is a moving pointer, so the release it resolved to is recorded;</w:t>
      </w:r>
      <w:r>
        <w:t xml:space="preserve"> </w:t>
      </w:r>
      <w:r>
        <w:t xml:space="preserve">every reference here comes from</w:t>
      </w:r>
      <w:r>
        <w:t xml:space="preserve"> </w:t>
      </w:r>
      <w:r>
        <w:rPr>
          <w:b/>
          <w:bCs/>
        </w:rPr>
        <w:t xml:space="preserve">census 2025-11-08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Coarse hierarchy — two routes.</w:t>
      </w:r>
      <w:r>
        <w:t xml:space="preserve"> </w:t>
      </w:r>
      <w:r>
        <w:t xml:space="preserve">The model is a coarse classifier over groups plus one</w:t>
      </w:r>
      <w:r>
        <w:t xml:space="preserve"> </w:t>
      </w:r>
      <w:r>
        <w:t xml:space="preserve">fine classifier per group, and the grouping comes from either: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Foundation-model embeddings.</w:t>
      </w:r>
      <w:r>
        <w:t xml:space="preserve"> </w:t>
      </w:r>
      <w:r>
        <w:t xml:space="preserve">scPRINT (medium-v1.5) embeds the reference once in</w:t>
      </w:r>
      <w:r>
        <w:t xml:space="preserve"> </w:t>
      </w:r>
      <w:r>
        <w:t xml:space="preserve">4,000-cell chunks; per-cell-type centroids are Ward-clustered into roughly √(number of</w:t>
      </w:r>
      <w:r>
        <w:t xml:space="preserve"> </w:t>
      </w:r>
      <w:r>
        <w:t xml:space="preserve">types) groups, with a floor of eight. scPRINT’s QC drops cells, so the embedding is not</w:t>
      </w:r>
      <w:r>
        <w:t xml:space="preserve"> </w:t>
      </w:r>
      <w:r>
        <w:t xml:space="preserve">positionally aligned to the input and the label is carried through the model with the</w:t>
      </w:r>
      <w:r>
        <w:t xml:space="preserve"> </w:t>
      </w:r>
      <w:r>
        <w:t xml:space="preserve">vectors. This is the only step that wants a GPU/MPS.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Cell Ontology lineage.</w:t>
      </w:r>
      <w:r>
        <w:t xml:space="preserve"> </w:t>
      </w:r>
      <w:r>
        <w:t xml:space="preserve">Each cell type is described by a binary indicator over the CL</w:t>
      </w:r>
      <w:r>
        <w:t xml:space="preserve"> </w:t>
      </w:r>
      <w:r>
        <w:t xml:space="preserve">terms it descends from; terms appearing in fewer than two types, or in all of them, are</w:t>
      </w:r>
      <w:r>
        <w:t xml:space="preserve"> </w:t>
      </w:r>
      <w:r>
        <w:t xml:space="preserve">dropped as uninformative; the same Ward clustering is applied to those vectors.</w:t>
      </w:r>
      <w:r>
        <w:t xml:space="preserve"> </w:t>
      </w:r>
      <w:r>
        <w:t xml:space="preserve">Free, deterministic, and species-independent — which is what</w:t>
      </w:r>
      <w:r>
        <w:t xml:space="preserve"> </w:t>
      </w:r>
      <w:r>
        <w:t xml:space="preserve">makes the pan-mouse reference possible, since the distillation teacher is human-only and</w:t>
      </w:r>
      <w:r>
        <w:t xml:space="preserve"> </w:t>
      </w:r>
      <w:r>
        <w:t xml:space="preserve">scPRINT’s mouse support is untested here. §3.4 scores this route against no hierarchy</w:t>
      </w:r>
      <w:r>
        <w:t xml:space="preserve"> </w:t>
      </w:r>
      <w:r>
        <w:t xml:space="preserve">and against a random grouping.</w:t>
      </w:r>
    </w:p>
    <w:p>
      <w:pPr>
        <w:pStyle w:val="FirstParagraph"/>
      </w:pPr>
      <w:r>
        <w:rPr>
          <w:b/>
          <w:bCs/>
        </w:rPr>
        <w:t xml:space="preserve">Training and calibration.</w:t>
      </w:r>
      <w:r>
        <w:t xml:space="preserve"> </w:t>
      </w:r>
      <w:r>
        <w:t xml:space="preserve">A 4,000-gene panel of</w:t>
      </w:r>
      <w:r>
        <w:t xml:space="preserve"> </w:t>
      </w:r>
      <w:r>
        <w:rPr>
          <w:b/>
          <w:bCs/>
        </w:rPr>
        <w:t xml:space="preserve">highly variable genes (HVGs)</w:t>
      </w:r>
      <w:r>
        <w:t xml:space="preserve"> </w:t>
      </w:r>
      <w:r>
        <w:t xml:space="preserve">— the</w:t>
      </w:r>
      <w:r>
        <w:t xml:space="preserve"> </w:t>
      </w:r>
      <w:r>
        <w:t xml:space="preserve">genes that differ most across cells, and so carry most of the signal for telling types apart —</w:t>
      </w:r>
      <w:r>
        <w:t xml:space="preserve"> </w:t>
      </w:r>
      <w:r>
        <w:t xml:space="preserve">is selected on the reference; the coarse</w:t>
      </w:r>
      <w:r>
        <w:t xml:space="preserve"> </w:t>
      </w:r>
      <w:r>
        <w:t xml:space="preserve">and per-group fine models are trained on it. Abstain calibration holds out</w:t>
      </w:r>
      <w:r>
        <w:t xml:space="preserve"> </w:t>
      </w:r>
      <w:r>
        <w:rPr>
          <w:b/>
          <w:bCs/>
        </w:rPr>
        <w:t xml:space="preserve">10% of cell types</w:t>
      </w:r>
      <w:r>
        <w:rPr>
          <w:b/>
          <w:bCs/>
        </w:rPr>
        <w:t xml:space="preserve"> </w:t>
      </w:r>
      <w:r>
        <w:rPr>
          <w:b/>
          <w:bCs/>
        </w:rPr>
        <w:t xml:space="preserve">entirely</w:t>
      </w:r>
      <w:r>
        <w:t xml:space="preserve"> </w:t>
      </w:r>
      <w:r>
        <w:t xml:space="preserve">as out-of-distribution (OOD — types the model was never trained on, standing in for</w:t>
      </w:r>
      <w:r>
        <w:t xml:space="preserve"> </w:t>
      </w:r>
      <w:r>
        <w:t xml:space="preserve">the novel populations a real query contains), plus a 20% within-type test split, and sweeps</w:t>
      </w:r>
      <w:r>
        <w:t xml:space="preserve"> </w:t>
      </w:r>
      <w:r>
        <w:t xml:space="preserve">the confidence threshold to trade coverage against accuracy on kept cells — the table each</w:t>
      </w:r>
      <w:r>
        <w:t xml:space="preserve"> </w:t>
      </w:r>
      <w:r>
        <w:t xml:space="preserve">bundled reference reports.</w:t>
      </w:r>
    </w:p>
    <w:p>
      <w:pPr>
        <w:pStyle w:val="BodyText"/>
      </w:pPr>
      <w:r>
        <w:rPr>
          <w:b/>
          <w:bCs/>
        </w:rPr>
        <w:t xml:space="preserve">Provenance and verification.</w:t>
      </w:r>
      <w:r>
        <w:t xml:space="preserve"> </w:t>
      </w:r>
      <w:r>
        <w:t xml:space="preserve">Each reference carries a build record: census release,</w:t>
      </w:r>
      <w:r>
        <w:t xml:space="preserve"> </w:t>
      </w:r>
      <w:r>
        <w:t xml:space="preserve">corpus sizes, hierarchy route, organism and calibration table. Because a rebuild can train</w:t>
      </w:r>
      <w:r>
        <w:t xml:space="preserve"> </w:t>
      </w:r>
      <w:r>
        <w:t xml:space="preserve">cleanly and annotate</w:t>
      </w:r>
      <w:r>
        <w:t xml:space="preserve"> </w:t>
      </w:r>
      <w:r>
        <w:rPr>
          <w:i/>
          <w:iCs/>
        </w:rPr>
        <w:t xml:space="preserve">worse</w:t>
      </w:r>
      <w:r>
        <w:t xml:space="preserve">, the previous reference is backed up and the new one is scored</w:t>
      </w:r>
      <w:r>
        <w:t xml:space="preserve"> </w:t>
      </w:r>
      <w:r>
        <w:t xml:space="preserve">on a held-out atlas before it is kept. For</w:t>
      </w:r>
      <w:r>
        <w:t xml:space="preserve"> </w:t>
      </w:r>
      <w:r>
        <w:rPr>
          <w:rStyle w:val="VerbatimChar"/>
        </w:rPr>
        <w:t xml:space="preserve">broad_mouse_v1</w:t>
      </w:r>
      <w:r>
        <w:t xml:space="preserve"> </w:t>
      </w:r>
      <w:r>
        <w:t xml:space="preserve">the test set is carved from the</w:t>
      </w:r>
      <w:r>
        <w:t xml:space="preserve"> </w:t>
      </w:r>
      <w:r>
        <w:t xml:space="preserve">census itself: two datasets are excluded from the reference sample and re-pulled as the</w:t>
      </w:r>
      <w:r>
        <w:t xml:space="preserve"> </w:t>
      </w:r>
      <w:r>
        <w:t xml:space="preserve">query, so</w:t>
      </w:r>
      <w:r>
        <w:t xml:space="preserve"> </w:t>
      </w:r>
      <w:r>
        <w:t xml:space="preserve">“held out”</w:t>
      </w:r>
      <w:r>
        <w:t xml:space="preserve"> </w:t>
      </w:r>
      <w:r>
        <w:t xml:space="preserve">means held-out</w:t>
      </w:r>
      <w:r>
        <w:t xml:space="preserve"> </w:t>
      </w:r>
      <w:r>
        <w:rPr>
          <w:i/>
          <w:iCs/>
        </w:rPr>
        <w:t xml:space="preserve">datasets</w:t>
      </w:r>
      <w:r>
        <w:t xml:space="preserve"> </w:t>
      </w:r>
      <w:r>
        <w:t xml:space="preserve">and not merely held-out cells.</w:t>
      </w:r>
    </w:p>
    <w:bookmarkEnd w:id="37"/>
    <w:bookmarkStart w:id="38" w:name="distilling-a-pretrained-annotator"/>
    <w:p>
      <w:pPr>
        <w:pStyle w:val="Heading2"/>
      </w:pPr>
      <w:r>
        <w:t xml:space="preserve">Distilling a pretrained annotator</w:t>
      </w:r>
    </w:p>
    <w:p>
      <w:pPr>
        <w:pStyle w:val="FirstParagraph"/>
      </w:pPr>
      <w:r>
        <w:t xml:space="preserve">A broad reference can also be built without labels and without a GPU, by taking both the label</w:t>
      </w:r>
      <w:r>
        <w:t xml:space="preserve"> </w:t>
      </w:r>
      <w:r>
        <w:t xml:space="preserve">vocabulary and the hierarchy from an existing pretrained annotator.</w:t>
      </w:r>
      <w:r>
        <w:t xml:space="preserve"> </w:t>
      </w:r>
      <w:r>
        <w:t xml:space="preserve">Keras/TensorFlow and JAX cannot share a process,</w:t>
      </w:r>
      <w:r>
        <w:t xml:space="preserve"> </w:t>
      </w:r>
      <w:r>
        <w:t xml:space="preserve">so this runs in two stages.</w:t>
      </w:r>
    </w:p>
    <w:p>
      <w:pPr>
        <w:pStyle w:val="BodyText"/>
      </w:pPr>
      <w:r>
        <w:rPr>
          <w:b/>
          <w:bCs/>
        </w:rPr>
        <w:t xml:space="preserve">Teacher pass.</w:t>
      </w:r>
      <w:r>
        <w:t xml:space="preserve"> </w:t>
      </w:r>
      <w:r>
        <w:t xml:space="preserve">Pan-human Azimuth labels a corpus of raw counts through its low-level API</w:t>
      </w:r>
      <w:r>
        <w:t xml:space="preserve"> </w:t>
      </w:r>
      <w:r>
        <w:t xml:space="preserve">in batches of 8,192, which loads the weights once rather than once per call. All eight levels</w:t>
      </w:r>
      <w:r>
        <w:t xml:space="preserve"> </w:t>
      </w:r>
      <w:r>
        <w:t xml:space="preserve">are retained. Where the package cannot reconcile a refined level with its coarser ones it</w:t>
      </w:r>
      <w:r>
        <w:t xml:space="preserve"> </w:t>
      </w:r>
      <w:r>
        <w:t xml:space="preserve">blanks that column; those cells still</w:t>
      </w:r>
      <w:r>
        <w:t xml:space="preserve"> </w:t>
      </w:r>
      <w:r>
        <w:t xml:space="preserve">carry a deepest-level call, so we fall back to it rather than discard them — dropping them</w:t>
      </w:r>
      <w:r>
        <w:t xml:space="preserve"> </w:t>
      </w:r>
      <w:r>
        <w:t xml:space="preserve">would distill only the cells the teacher found easy. Predictions are mapped to CL ids through</w:t>
      </w:r>
      <w:r>
        <w:t xml:space="preserve"> </w:t>
      </w:r>
      <w:r>
        <w:t xml:space="preserve">the package’s own crosswalk.</w:t>
      </w:r>
    </w:p>
    <w:p>
      <w:pPr>
        <w:pStyle w:val="BodyText"/>
      </w:pPr>
      <w:r>
        <w:rPr>
          <w:b/>
          <w:bCs/>
        </w:rPr>
        <w:t xml:space="preserve">Student pass.</w:t>
      </w:r>
      <w:r>
        <w:t xml:space="preserve"> </w:t>
      </w:r>
      <w:r>
        <w:t xml:space="preserve">The student is a hierarchical actinn-jax reference whose</w:t>
      </w:r>
      <w:r>
        <w:t xml:space="preserve"> </w:t>
      </w:r>
      <w:r>
        <w:rPr>
          <w:b/>
          <w:bCs/>
        </w:rPr>
        <w:t xml:space="preserve">classes</w:t>
      </w:r>
      <w:r>
        <w:t xml:space="preserve"> </w:t>
      </w:r>
      <w:r>
        <w:t xml:space="preserve">are</w:t>
      </w:r>
      <w:r>
        <w:t xml:space="preserve"> </w:t>
      </w:r>
      <w:r>
        <w:t xml:space="preserve">the teacher’s refined fine labels (including its trained</w:t>
      </w:r>
      <w:r>
        <w:t xml:space="preserve"> </w:t>
      </w:r>
      <w:r>
        <w:rPr>
          <w:rStyle w:val="VerbatimChar"/>
        </w:rPr>
        <w:t xml:space="preserve">Unassigned</w:t>
      </w:r>
      <w:r>
        <w:t xml:space="preserve"> </w:t>
      </w:r>
      <w:r>
        <w:t xml:space="preserve">quality-control class)</w:t>
      </w:r>
      <w:r>
        <w:t xml:space="preserve"> </w:t>
      </w:r>
      <w:r>
        <w:t xml:space="preserve">and whose</w:t>
      </w:r>
      <w:r>
        <w:t xml:space="preserve"> </w:t>
      </w:r>
      <w:r>
        <w:rPr>
          <w:b/>
          <w:bCs/>
        </w:rPr>
        <w:t xml:space="preserve">hierarchy</w:t>
      </w:r>
      <w:r>
        <w:t xml:space="preserve"> </w:t>
      </w:r>
      <w:r>
        <w:t xml:space="preserve">is the</w:t>
      </w:r>
      <w:r>
        <w:t xml:space="preserve"> </w:t>
      </w:r>
      <w:r>
        <w:t xml:space="preserve">teacher’s own broad level — so the coarse→fine structure is inherited rather than rediscovered.</w:t>
      </w:r>
      <w:r>
        <w:t xml:space="preserve"> </w:t>
      </w:r>
      <w:r>
        <w:t xml:space="preserve">4,000-gene HVG panel; classes with fewer than 8 cells dropped, since a class that cannot be</w:t>
      </w:r>
      <w:r>
        <w:t xml:space="preserve"> </w:t>
      </w:r>
      <w:r>
        <w:t xml:space="preserve">split into train and test makes fidelity depend on which side its cells landed.</w:t>
      </w:r>
    </w:p>
    <w:p>
      <w:pPr>
        <w:pStyle w:val="BodyText"/>
      </w:pPr>
      <w:r>
        <w:rPr>
          <w:b/>
          <w:bCs/>
        </w:rPr>
        <w:t xml:space="preserve">Corpus.</w:t>
      </w:r>
      <w:r>
        <w:t xml:space="preserve"> </w:t>
      </w:r>
      <w:r>
        <w:t xml:space="preserve">Three local atlases (lung, liver, blood+gut) capped at 600 cells per label, plus a</w:t>
      </w:r>
      <w:r>
        <w:t xml:space="preserve"> </w:t>
      </w:r>
      <w:r>
        <w:t xml:space="preserve">census-wide pull (≤60 per type). The atlases’ own labels are used</w:t>
      </w:r>
      <w:r>
        <w:t xml:space="preserve"> </w:t>
      </w:r>
      <w:r>
        <w:rPr>
          <w:b/>
          <w:bCs/>
        </w:rPr>
        <w:t xml:space="preserve">only for scoring</w:t>
      </w:r>
      <w:r>
        <w:t xml:space="preserve">, never</w:t>
      </w:r>
      <w:r>
        <w:t xml:space="preserve"> </w:t>
      </w:r>
      <w:r>
        <w:t xml:space="preserve">for training.</w:t>
      </w:r>
    </w:p>
    <w:p>
      <w:pPr>
        <w:pStyle w:val="BodyText"/>
      </w:pPr>
      <w:r>
        <w:rPr>
          <w:b/>
          <w:bCs/>
        </w:rPr>
        <w:t xml:space="preserve">Evaluation.</w:t>
      </w:r>
      <w:r>
        <w:t xml:space="preserve"> </w:t>
      </w:r>
      <w:r>
        <w:t xml:space="preserve">Two arms answer different questions.</w:t>
      </w:r>
      <w:r>
        <w:t xml:space="preserve"> </w:t>
      </w:r>
      <w:r>
        <w:rPr>
          <w:i/>
          <w:iCs/>
        </w:rPr>
        <w:t xml:space="preserve">In-corpus</w:t>
      </w:r>
      <w:r>
        <w:t xml:space="preserve"> </w:t>
      </w:r>
      <w:r>
        <w:t xml:space="preserve">holds out a stratified 25% of</w:t>
      </w:r>
      <w:r>
        <w:t xml:space="preserve"> </w:t>
      </w:r>
      <w:r>
        <w:t xml:space="preserve">cells and measures</w:t>
      </w:r>
      <w:r>
        <w:t xml:space="preserve"> </w:t>
      </w:r>
      <w:r>
        <w:rPr>
          <w:b/>
          <w:bCs/>
        </w:rPr>
        <w:t xml:space="preserve">fidelity</w:t>
      </w:r>
      <w:r>
        <w:t xml:space="preserve"> </w:t>
      </w:r>
      <w:r>
        <w:t xml:space="preserve">— how often the student reproduces the teacher, exactly and</w:t>
      </w:r>
      <w:r>
        <w:t xml:space="preserve"> </w:t>
      </w:r>
      <w:r>
        <w:t xml:space="preserve">ontology-equivalently.</w:t>
      </w:r>
      <w:r>
        <w:t xml:space="preserve"> </w:t>
      </w:r>
      <w:r>
        <w:rPr>
          <w:i/>
          <w:iCs/>
        </w:rPr>
        <w:t xml:space="preserve">Held-out atlas</w:t>
      </w:r>
      <w:r>
        <w:t xml:space="preserve"> </w:t>
      </w:r>
      <w:r>
        <w:t xml:space="preserve">withholds an entire atlas and measures whether the</w:t>
      </w:r>
      <w:r>
        <w:t xml:space="preserve"> </w:t>
      </w:r>
      <w:r>
        <w:t xml:space="preserve">student generalizes to data the corpus never covered. Both arms also score student and teacher</w:t>
      </w:r>
      <w:r>
        <w:t xml:space="preserve"> </w:t>
      </w:r>
      <w:r>
        <w:t xml:space="preserve">against the atlases’ own labels, which separates distillation loss from teacher error. Once the census pull is in the corpus, a withheld</w:t>
      </w:r>
      <w:r>
        <w:t xml:space="preserve"> </w:t>
      </w:r>
      <w:r>
        <w:rPr>
          <w:i/>
          <w:iCs/>
        </w:rPr>
        <w:t xml:space="preserve">atlas</w:t>
      </w:r>
      <w:r>
        <w:t xml:space="preserve"> </w:t>
      </w:r>
      <w:r>
        <w:t xml:space="preserve">is no longer a withheld</w:t>
      </w:r>
      <w:r>
        <w:t xml:space="preserve"> </w:t>
      </w:r>
      <w:r>
        <w:rPr>
          <w:i/>
          <w:iCs/>
        </w:rPr>
        <w:t xml:space="preserve">tissue</w:t>
      </w:r>
      <w:r>
        <w:t xml:space="preserve">.</w:t>
      </w:r>
    </w:p>
    <w:bookmarkEnd w:id="38"/>
    <w:bookmarkStart w:id="39" w:name="refinement-abstention-and-novelty"/>
    <w:p>
      <w:pPr>
        <w:pStyle w:val="Heading2"/>
      </w:pPr>
      <w:r>
        <w:t xml:space="preserve">Refinement, abstention, and novelty</w:t>
      </w:r>
    </w:p>
    <w:p>
      <w:pPr>
        <w:pStyle w:val="FirstParagraph"/>
      </w:pPr>
      <w:r>
        <w:t xml:space="preserve">Four mechanisms operate on a trained reference at inference time, all label-free.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Confidence abstention.</w:t>
      </w:r>
      <w:r>
        <w:t xml:space="preserve"> </w:t>
      </w:r>
      <w:r>
        <w:t xml:space="preserve">Cells whose final probability is below a threshold are relabeled</w:t>
      </w:r>
      <w:r>
        <w:t xml:space="preserve"> </w:t>
      </w:r>
      <w:r>
        <w:t xml:space="preserve">“unknown”</w:t>
      </w:r>
      <w:r>
        <w:t xml:space="preserve"> </w:t>
      </w:r>
      <w:r>
        <w:t xml:space="preserve">rather than forced to the nearest class. Calibrated per reference (§2.6).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Refinement to the query.</w:t>
      </w:r>
      <w:r>
        <w:t xml:space="preserve"> </w:t>
      </w:r>
      <w:r>
        <w:t xml:space="preserve">The reference’s class set is masked to those classes the</w:t>
      </w:r>
      <w:r>
        <w:t xml:space="preserve"> </w:t>
      </w:r>
      <w:r>
        <w:t xml:space="preserve">query’s own predictions actually support, and the softmax renormalized — no ground truth,</w:t>
      </w:r>
      <w:r>
        <w:t xml:space="preserve"> </w:t>
      </w:r>
      <w:r>
        <w:t xml:space="preserve">no retraining.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Refinement to a tissue.</w:t>
      </w:r>
      <w:r>
        <w:t xml:space="preserve"> </w:t>
      </w:r>
      <w:r>
        <w:t xml:space="preserve">Classes are masked to those the census records in the given</w:t>
      </w:r>
      <w:r>
        <w:t xml:space="preserve"> </w:t>
      </w:r>
      <w:r>
        <w:t xml:space="preserve">tissue, while</w:t>
      </w:r>
      <w:r>
        <w:t xml:space="preserve"> </w:t>
      </w:r>
      <w:r>
        <w:rPr>
          <w:b/>
          <w:bCs/>
        </w:rPr>
        <w:t xml:space="preserve">pan-tissue</w:t>
      </w:r>
      <w:r>
        <w:t xml:space="preserve"> </w:t>
      </w:r>
      <w:r>
        <w:t xml:space="preserve">types (immune, endothelial, stromal) stay available</w:t>
      </w:r>
      <w:r>
        <w:t xml:space="preserve"> </w:t>
      </w:r>
      <w:r>
        <w:t xml:space="preserve">everywhere, so liver-resident T cells are unaffected. The per-class tissue map is baked</w:t>
      </w:r>
      <w:r>
        <w:t xml:space="preserve"> </w:t>
      </w:r>
      <w:r>
        <w:t xml:space="preserve">into the bundled reference; the tissue is given explicitly or read from the query’s own</w:t>
      </w:r>
      <w:r>
        <w:t xml:space="preserve"> </w:t>
      </w:r>
      <w:r>
        <w:t xml:space="preserve">metadata, with common synonyms (PBMC→blood, hepatic→liver) recognized. A tissue outside</w:t>
      </w:r>
      <w:r>
        <w:t xml:space="preserve"> </w:t>
      </w:r>
      <w:r>
        <w:t xml:space="preserve">the reference’s vocabulary imposes no filter rather than an empty one.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Cluster-level novelty screen.</w:t>
      </w:r>
      <w:r>
        <w:t xml:space="preserve"> </w:t>
      </w:r>
      <w:r>
        <w:t xml:space="preserve">A cell type absent from the reference appears not as</w:t>
      </w:r>
      <w:r>
        <w:t xml:space="preserve"> </w:t>
      </w:r>
      <w:r>
        <w:t xml:space="preserve">scattered uncertain cells but as a</w:t>
      </w:r>
      <w:r>
        <w:t xml:space="preserve"> </w:t>
      </w:r>
      <w:r>
        <w:rPr>
          <w:i/>
          <w:iCs/>
        </w:rPr>
        <w:t xml:space="preserve">coherent group the reference cannot confidently</w:t>
      </w:r>
      <w:r>
        <w:rPr>
          <w:i/>
          <w:iCs/>
        </w:rPr>
        <w:t xml:space="preserve"> </w:t>
      </w:r>
      <w:r>
        <w:rPr>
          <w:i/>
          <w:iCs/>
        </w:rPr>
        <w:t xml:space="preserve">explain</w:t>
      </w:r>
      <w:r>
        <w:t xml:space="preserve">. Clusters that are both large enough to be a real population and predominantly</w:t>
      </w:r>
      <w:r>
        <w:t xml:space="preserve"> </w:t>
      </w:r>
      <w:r>
        <w:t xml:space="preserve">low-confidence are flagged, with marker genes reported for each. This is distinct from</w:t>
      </w:r>
      <w:r>
        <w:t xml:space="preserve"> </w:t>
      </w:r>
      <w:r>
        <w:t xml:space="preserve">per-cell abstention.</w:t>
      </w:r>
    </w:p>
    <w:p>
      <w:pPr>
        <w:pStyle w:val="FirstParagraph"/>
      </w:pPr>
      <w:r>
        <w:rPr>
          <w:b/>
          <w:bCs/>
        </w:rPr>
        <w:t xml:space="preserve">Within-type state.</w:t>
      </w:r>
      <w:r>
        <w:t xml:space="preserve"> </w:t>
      </w:r>
      <w:r>
        <w:t xml:space="preserve">The same machinery resolves structure below a cell-type label: a</w:t>
      </w:r>
      <w:r>
        <w:t xml:space="preserve"> </w:t>
      </w:r>
      <w:r>
        <w:t xml:space="preserve">hepatocyte zonation model trained on portal→central zone labels, scored by within-one-zone</w:t>
      </w:r>
      <w:r>
        <w:t xml:space="preserve"> </w:t>
      </w:r>
      <w:r>
        <w:t xml:space="preserve">agreement across donors and datasets.</w:t>
      </w:r>
    </w:p>
    <w:bookmarkEnd w:id="39"/>
    <w:bookmarkStart w:id="40" w:name="scaling-protocol"/>
    <w:p>
      <w:pPr>
        <w:pStyle w:val="Heading2"/>
      </w:pPr>
      <w:r>
        <w:t xml:space="preserve">Scaling protocol</w:t>
      </w:r>
    </w:p>
    <w:p>
      <w:pPr>
        <w:pStyle w:val="FirstParagraph"/>
      </w:pPr>
      <w:r>
        <w:t xml:space="preserve">A benchmark run at one reference size measures that size, not the method. Since a reference</w:t>
      </w:r>
      <w:r>
        <w:t xml:space="preserve"> </w:t>
      </w:r>
      <w:r>
        <w:t xml:space="preserve">can be anything from a few thousand cells to a whole atlas, we subsample the reference and hold</w:t>
      </w:r>
      <w:r>
        <w:t xml:space="preserve"> </w:t>
      </w:r>
      <w:r>
        <w:t xml:space="preserve">the query fixed, so accuracy, fit time, predict time and peak memory become functions of</w:t>
      </w:r>
      <w:r>
        <w:t xml:space="preserve"> </w:t>
      </w:r>
      <w:r>
        <w:t xml:space="preserve">reference size alone.</w:t>
      </w:r>
    </w:p>
    <w:p>
      <w:pPr>
        <w:pStyle w:val="BodyText"/>
      </w:pPr>
      <w:r>
        <w:t xml:space="preserve">Each sweep answers a different question.</w:t>
      </w:r>
      <w:r>
        <w:t xml:space="preserve"> </w:t>
      </w:r>
      <w:r>
        <w:rPr>
          <w:b/>
          <w:bCs/>
        </w:rPr>
        <w:t xml:space="preserve">Cost against size and</w:t>
      </w:r>
      <w:r>
        <w:rPr>
          <w:b/>
          <w:bCs/>
        </w:rP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(§3.3, Figure 2) covers six reference sizes to 24k cells and separately varies</w:t>
      </w:r>
      <w:r>
        <w:t xml:space="preserve"> </w:t>
      </w:r>
      <w:r>
        <w:t xml:space="preserve">the number of cell types, and asks whether inference cost grows with either — the property the</w:t>
      </w:r>
      <w:r>
        <w:t xml:space="preserve"> </w:t>
      </w:r>
      <w:r>
        <w:t xml:space="preserve">multi-stage workflow depends on.</w:t>
      </w:r>
      <w:r>
        <w:t xml:space="preserve"> </w:t>
      </w:r>
      <w:r>
        <w:rPr>
          <w:b/>
          <w:bCs/>
        </w:rPr>
        <w:t xml:space="preserve">Accuracy and memory to atlas scale</w:t>
      </w:r>
      <w:r>
        <w:t xml:space="preserve"> </w:t>
      </w:r>
      <w:r>
        <w:t xml:space="preserve">covers five sizes</w:t>
      </w:r>
      <w:r>
        <w:t xml:space="preserve"> </w:t>
      </w:r>
      <w:r>
        <w:t xml:space="preserve">to 49k cells on lung and four to 47k on the HLiCA liver atlas (§3.3, Figure 3), and asks</w:t>
      </w:r>
      <w:r>
        <w:t xml:space="preserve"> </w:t>
      </w:r>
      <w:r>
        <w:t xml:space="preserve">whether the ranking at laptop size survives at atlas size. A third sweep runs the other way,</w:t>
      </w:r>
      <w:r>
        <w:t xml:space="preserve"> </w:t>
      </w:r>
      <w:r>
        <w:t xml:space="preserve">holding the reference fixed and growing the</w:t>
      </w:r>
      <w:r>
        <w:t xml:space="preserve"> </w:t>
      </w:r>
      <w:r>
        <w:rPr>
          <w:i/>
          <w:iCs/>
        </w:rPr>
        <w:t xml:space="preserve">query</w:t>
      </w:r>
      <w:r>
        <w:t xml:space="preserve"> </w:t>
      </w:r>
      <w:r>
        <w:t xml:space="preserve">to a whole 525k-cell atlas (§3.3,</w:t>
      </w:r>
      <w:r>
        <w:t xml:space="preserve"> </w:t>
      </w:r>
      <w:r>
        <w:t xml:space="preserve">Figure 4), which is the axis a reused reference is actually pointed along. Sizes are set by capping cells per</w:t>
      </w:r>
      <w:r>
        <w:t xml:space="preserve"> </w:t>
      </w:r>
      <w:r>
        <w:t xml:space="preserve">type, which is why they are not round numbers. The lung sweep’s top point is the whole atlas</w:t>
      </w:r>
      <w:r>
        <w:t xml:space="preserve"> </w:t>
      </w:r>
      <w:r>
        <w:t xml:space="preserve">once the query is held out; the liver atlas is far larger (525k cells), so its sweep stops at</w:t>
      </w:r>
      <w:r>
        <w:t xml:space="preserve"> </w:t>
      </w:r>
      <w:r>
        <w:t xml:space="preserve">a matching reference size rather than at its own ceiling, which is what lets the two be read</w:t>
      </w:r>
      <w:r>
        <w:t xml:space="preserve"> </w:t>
      </w:r>
      <w:r>
        <w:t xml:space="preserve">against each other.</w:t>
      </w:r>
    </w:p>
    <w:bookmarkEnd w:id="40"/>
    <w:bookmarkStart w:id="42" w:name="external-validation-protocol"/>
    <w:p>
      <w:pPr>
        <w:pStyle w:val="Heading2"/>
      </w:pPr>
      <w:r>
        <w:t xml:space="preserve">External validation protocol</w:t>
      </w:r>
    </w:p>
    <w:p>
      <w:pPr>
        <w:pStyle w:val="FirstParagraph"/>
      </w:pPr>
      <w:r>
        <w:rPr>
          <w:b/>
          <w:bCs/>
        </w:rPr>
        <w:t xml:space="preserve">Open Problems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label_projection</w:t>
      </w:r>
      <w:r>
        <w:t xml:space="preserve"> </w:t>
      </w:r>
      <w:hyperlink r:id="rId41">
        <w:r>
          <w:rPr>
            <w:rStyle w:val="Hyperlink"/>
          </w:rPr>
          <w:t xml:space="preserve">[Open Problems 2024]</w:t>
        </w:r>
      </w:hyperlink>
      <w:r>
        <w:t xml:space="preserve"> </w:t>
      </w:r>
      <w:r>
        <w:t xml:space="preserve">supplies the</w:t>
      </w:r>
      <w:r>
        <w:t xml:space="preserve"> </w:t>
      </w:r>
      <w:r>
        <w:t xml:space="preserve">datasets, metrics and ranking — none chosen by us. actinn-jax is packaged as a viash 0.9.7</w:t>
      </w:r>
      <w:r>
        <w:t xml:space="preserve"> </w:t>
      </w:r>
      <w:r>
        <w:t xml:space="preserve">component declaring the normalization it expects, and run through the project’s own Nextflow</w:t>
      </w:r>
      <w:r>
        <w:t xml:space="preserve"> </w:t>
      </w:r>
      <w:r>
        <w:t xml:space="preserve">workflow. We additionally built components for four</w:t>
      </w:r>
      <w:r>
        <w:t xml:space="preserve"> </w:t>
      </w:r>
      <w:r>
        <w:t xml:space="preserve">baselines (linear-anova-pca, scTOP, SVM, CellTypist) so the same-hardware comparison covers</w:t>
      </w:r>
      <w:r>
        <w:t xml:space="preserve"> </w:t>
      </w:r>
      <w:r>
        <w:t xml:space="preserve">more than the leaderboard’s own set.</w:t>
      </w:r>
    </w:p>
    <w:p>
      <w:pPr>
        <w:pStyle w:val="BodyText"/>
      </w:pPr>
      <w:r>
        <w:rPr>
          <w:b/>
          <w:bCs/>
        </w:rPr>
        <w:t xml:space="preserve">Where each number is measured.</w:t>
      </w:r>
      <w:r>
        <w:t xml:space="preserve"> </w:t>
      </w:r>
      <w:r>
        <w:t xml:space="preserve">The paper reports two environments. The in-house panel</w:t>
      </w:r>
      <w:r>
        <w:t xml:space="preserve"> </w:t>
      </w:r>
      <w:r>
        <w:t xml:space="preserve">(§3.1–§3.5) runs on the Apple Silicon laptop described in §2.5. The Open Problems results</w:t>
      </w:r>
      <w:r>
        <w:t xml:space="preserve"> </w:t>
      </w:r>
      <w:r>
        <w:t xml:space="preserve">(§3.7) run on AWS</w:t>
      </w:r>
      <w:r>
        <w:t xml:space="preserve"> </w:t>
      </w:r>
      <w:r>
        <w:rPr>
          <w:rStyle w:val="VerbatimChar"/>
        </w:rPr>
        <w:t xml:space="preserve">r7i.8xlarge</w:t>
      </w:r>
      <w:r>
        <w:t xml:space="preserve"> </w:t>
      </w:r>
      <w:r>
        <w:t xml:space="preserve">instances (32 vCPU, 247 GB) through OP’s own Nextflow</w:t>
      </w:r>
      <w:r>
        <w:t xml:space="preserve"> </w:t>
      </w:r>
      <w:r>
        <w:t xml:space="preserve">pipeline, two tasks at a time.</w:t>
      </w:r>
    </w:p>
    <w:p>
      <w:pPr>
        <w:pStyle w:val="BodyText"/>
      </w:pPr>
      <w:r>
        <w:rPr>
          <w:b/>
          <w:bCs/>
        </w:rPr>
        <w:t xml:space="preserve">Accuracy</w:t>
      </w:r>
      <w:r>
        <w:t xml:space="preserve"> </w:t>
      </w:r>
      <w:r>
        <w:t xml:space="preserve">in Table 9 comes from a single AWS run covering all eleven methods, so every</w:t>
      </w:r>
      <w:r>
        <w:t xml:space="preserve"> </w:t>
      </w:r>
      <w:r>
        <w:t xml:space="preserve">score is one harness, one machine, one invocation.</w:t>
      </w:r>
    </w:p>
    <w:p>
      <w:pPr>
        <w:pStyle w:val="BodyText"/>
      </w:pPr>
      <w:r>
        <w:rPr>
          <w:b/>
          <w:bCs/>
        </w:rPr>
        <w:t xml:space="preserve">Cost</w:t>
      </w:r>
      <w:r>
        <w:t xml:space="preserve"> </w:t>
      </w:r>
      <w:r>
        <w:t xml:space="preserve">is reported as a ratio to actinn-jax rather than in seconds, because wall-clock on a</w:t>
      </w:r>
      <w:r>
        <w:t xml:space="preserve"> </w:t>
      </w:r>
      <w:r>
        <w:t xml:space="preserve">shared box depends on what else is running: measured</w:t>
      </w:r>
      <w:r>
        <w:t xml:space="preserve"> </w:t>
      </w:r>
      <w:r>
        <w:rPr>
          <w:rStyle w:val="VerbatimChar"/>
        </w:rPr>
        <w:t xml:space="preserve">%cpu</w:t>
      </w:r>
      <w:r>
        <w:t xml:space="preserve"> </w:t>
      </w:r>
      <w:r>
        <w:t xml:space="preserve">spans 49% to 2338% across these</w:t>
      </w:r>
      <w:r>
        <w:t xml:space="preserve"> </w:t>
      </w:r>
      <w:r>
        <w:t xml:space="preserve">methods, and actinn-jax itself averaged 165 s/dataset when scheduled alongside OP’s seven and</w:t>
      </w:r>
      <w:r>
        <w:t xml:space="preserve"> </w:t>
      </w:r>
      <w:r>
        <w:t xml:space="preserve">87 s/dataset alongside our four. Ratios taken within one run are stable where absolute times</w:t>
      </w:r>
      <w:r>
        <w:t xml:space="preserve"> </w:t>
      </w:r>
      <w:r>
        <w:t xml:space="preserve">are not, and actinn-jax was included in both runs to join them. Peak memory does not move</w:t>
      </w:r>
      <w:r>
        <w:t xml:space="preserve"> </w:t>
      </w:r>
      <w:r>
        <w:t xml:space="preserve">with contention and is reported as measured.</w:t>
      </w:r>
    </w:p>
    <w:bookmarkEnd w:id="42"/>
    <w:bookmarkStart w:id="45" w:name="ablations"/>
    <w:p>
      <w:pPr>
        <w:pStyle w:val="Heading2"/>
      </w:pPr>
      <w:r>
        <w:t xml:space="preserve">Ablations</w:t>
      </w:r>
    </w:p>
    <w:p>
      <w:pPr>
        <w:pStyle w:val="FirstParagraph"/>
      </w:pPr>
      <w:r>
        <w:t xml:space="preserve">Three cheap interventions characterize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a gene-space MLP gains or loses against heavier</w:t>
      </w:r>
      <w:r>
        <w:t xml:space="preserve"> </w:t>
      </w:r>
      <w:r>
        <w:t xml:space="preserve">methods, all selectable without test labels: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Input standardization</w:t>
      </w:r>
      <w:r>
        <w:t xml:space="preserve"> </w:t>
      </w:r>
      <w:r>
        <w:t xml:space="preserve">— z-score each selected gene by the reference’s frozen mean/std</w:t>
      </w:r>
      <w:r>
        <w:t xml:space="preserve"> </w:t>
      </w:r>
      <w:r>
        <w:t xml:space="preserve">and apply to the query (a scArches-style domain alignment). Opt-in, because it shifts the</w:t>
      </w:r>
      <w:r>
        <w:t xml:space="preserve"> </w:t>
      </w:r>
      <w:r>
        <w:t xml:space="preserve">probability calibration the abstain thresholds are tuned against.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Gene budget</w:t>
      </w:r>
      <w:r>
        <w:t xml:space="preserve"> </w:t>
      </w:r>
      <w:r>
        <w:t xml:space="preserve">— Open Problems feeds every method 1,000 HVGs; we sweep wider panels and</w:t>
      </w:r>
      <w:r>
        <w:t xml:space="preserve"> </w:t>
      </w:r>
      <w:r>
        <w:t xml:space="preserve">select per dataset by</w:t>
      </w:r>
      <w:r>
        <w:t xml:space="preserve"> </w:t>
      </w:r>
      <w:r>
        <w:rPr>
          <w:b/>
          <w:bCs/>
        </w:rPr>
        <w:t xml:space="preserve">held-out reference cross-validation</w:t>
      </w:r>
      <w:r>
        <w:t xml:space="preserve">, which is label-free with</w:t>
      </w:r>
      <w:r>
        <w:t xml:space="preserve"> </w:t>
      </w:r>
      <w:r>
        <w:t xml:space="preserve">respect to the test set.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Protein-embedding featurization</w:t>
      </w:r>
      <w:r>
        <w:t xml:space="preserve"> </w:t>
      </w:r>
      <w:r>
        <w:t xml:space="preserve">(negative control). A CPU-only featurization in the</w:t>
      </w:r>
      <w:r>
        <w:t xml:space="preserve"> </w:t>
      </w:r>
      <w:r>
        <w:t xml:space="preserve">style of</w:t>
      </w:r>
      <w:r>
        <w:t xml:space="preserve"> </w:t>
      </w:r>
      <w:r>
        <w:rPr>
          <w:b/>
          <w:bCs/>
        </w:rPr>
        <w:t xml:space="preserve">Universal Cell Embeddings (UCE)</w:t>
      </w:r>
      <w:r>
        <w:t xml:space="preserve"> </w:t>
      </w:r>
      <w:hyperlink r:id="rId43">
        <w:r>
          <w:rPr>
            <w:rStyle w:val="Hyperlink"/>
          </w:rPr>
          <w:t xml:space="preserve">[Rosen 2026]</w:t>
        </w:r>
      </w:hyperlink>
      <w:r>
        <w:t xml:space="preserve">: an expression-weighted mean of</w:t>
      </w:r>
      <w:r>
        <w:t xml:space="preserve"> </w:t>
      </w:r>
      <w:r>
        <w:t xml:space="preserve">ESM2</w:t>
      </w:r>
      <w:r>
        <w:t xml:space="preserve"> </w:t>
      </w:r>
      <w:hyperlink r:id="rId44">
        <w:r>
          <w:rPr>
            <w:rStyle w:val="Hyperlink"/>
          </w:rPr>
          <w:t xml:space="preserve">[Lin 2023]</w:t>
        </w:r>
      </w:hyperlink>
      <w:r>
        <w:t xml:space="preserve"> </w:t>
      </w:r>
      <w:r>
        <w:t xml:space="preserve">protein-language-model gene embeddings. It tests whether a foundation</w:t>
      </w:r>
      <w:r>
        <w:t xml:space="preserve"> </w:t>
      </w:r>
      <w:r>
        <w:t xml:space="preserve">model’s value survives a cheap pooling shortcut.</w:t>
      </w:r>
    </w:p>
    <w:bookmarkEnd w:id="45"/>
    <w:bookmarkEnd w:id="46"/>
    <w:bookmarkStart w:id="87" w:name="results"/>
    <w:p>
      <w:pPr>
        <w:pStyle w:val="Heading1"/>
      </w:pPr>
      <w:r>
        <w:t xml:space="preserve">Results</w:t>
      </w:r>
    </w:p>
    <w:bookmarkStart w:id="47" w:name="accuracy-and-cost"/>
    <w:p>
      <w:pPr>
        <w:pStyle w:val="Heading2"/>
      </w:pPr>
      <w:r>
        <w:t xml:space="preserve">Accuracy and cost</w:t>
      </w:r>
    </w:p>
    <w:p>
      <w:pPr>
        <w:pStyle w:val="FirstParagraph"/>
      </w:pPr>
      <w:r>
        <w:t xml:space="preserve">Accuracy is the mean over the</w:t>
      </w:r>
      <w:r>
        <w:t xml:space="preserve"> </w:t>
      </w:r>
      <w:r>
        <w:rPr>
          <w:b/>
          <w:bCs/>
        </w:rPr>
        <w:t xml:space="preserve">five shared-vocabulary datasets</w:t>
      </w:r>
      <w:r>
        <w:t xml:space="preserve"> </w:t>
      </w:r>
      <w:r>
        <w:t xml:space="preserve">(lung_cross</w:t>
      </w:r>
      <w:r>
        <w:t xml:space="preserve"> </w:t>
      </w:r>
      <w:r>
        <w:t xml:space="preserve">excluded — its exact-match accuracy is a vocabulary artifact, see the † note below; means over all</w:t>
      </w:r>
      <w:r>
        <w:t xml:space="preserve"> </w:t>
      </w:r>
      <w:r>
        <w:t xml:space="preserve">six are ~0.08 lower for every method, and reorder only scArches and actinn-jax, by 0.0004);</w:t>
      </w:r>
      <w:r>
        <w:t xml:space="preserve"> </w:t>
      </w:r>
      <w:r>
        <w:t xml:space="preserve">macro-F1 is the mean over all six non-brain datasets, ontology concordance the mean over the</w:t>
      </w:r>
      <w:r>
        <w:t xml:space="preserve"> </w:t>
      </w:r>
      <w:r>
        <w:t xml:space="preserve">four of those that carry Cell Ontology ids; cost is the mean per query (Table 3). The two brain</w:t>
      </w:r>
      <w:r>
        <w:t xml:space="preserve"> </w:t>
      </w:r>
      <w:r>
        <w:t xml:space="preserve">splits are excluded from these aggregates and reported per dataset in Table 5, because the</w:t>
      </w:r>
      <w:r>
        <w:t xml:space="preserve"> </w:t>
      </w:r>
      <w:r>
        <w:t xml:space="preserve">columns below come from one measurement pass on an idle machine and brain was run afterwards.</w:t>
      </w:r>
      <w:r>
        <w:t xml:space="preserve"> </w:t>
      </w:r>
      <w:r>
        <w:t xml:space="preserve">Adding brain at subclass level raises every method by 0.025–0.043 and reorders nothing. Adding</w:t>
      </w:r>
      <w:r>
        <w:t xml:space="preserve"> </w:t>
      </w:r>
      <w:r>
        <w:t xml:space="preserve">both brain splits gives</w:t>
      </w:r>
      <w:r>
        <w:t xml:space="preserve"> </w:t>
      </w:r>
      <w:r>
        <w:t xml:space="preserve">accuracies over eight of linear-anova-pca 0.857, scANVI 0.855, scArches 0.853, CellTypist</w:t>
      </w:r>
      <w:r>
        <w:t xml:space="preserve"> </w:t>
      </w:r>
      <w:r>
        <w:t xml:space="preserve">0.848,</w:t>
      </w:r>
      <w:r>
        <w:t xml:space="preserve"> </w:t>
      </w:r>
      <w:r>
        <w:rPr>
          <w:b/>
          <w:bCs/>
        </w:rPr>
        <w:t xml:space="preserve">actinn-jax 0.840</w:t>
      </w:r>
      <w:r>
        <w:t xml:space="preserve">, SVM 0.837, ProtoCloud 0.817, SingleR 0.811, kNN 0.792, scTOP</w:t>
      </w:r>
      <w:r>
        <w:t xml:space="preserve"> </w:t>
      </w:r>
      <w:r>
        <w:t xml:space="preserve">0.775, scmap-cluster 0.706 — which moves actinn-jax from fourth to fifth, behind CellTypist: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 (5)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macro-F1 (6)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ontology (4)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fit (s)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predict (s)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peak mem (MB)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linear-anova-pca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scArches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scANVI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0.0*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2087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actinn-jax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CellTypist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ProtoCloud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scmap-cluster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8609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3.</w:t>
      </w:r>
      <w:r>
        <w:t xml:space="preserve"> </w:t>
      </w:r>
      <w:r>
        <w:t xml:space="preserve">Accuracy and cost together, ordered by accuracy. Accuracy is the mean over the five</w:t>
      </w:r>
      <w:r>
        <w:t xml:space="preserve"> </w:t>
      </w:r>
      <w:r>
        <w:t xml:space="preserve">shared-vocabulary datasets, macro-F1 is the mean over all six non-brain datasets, ontology</w:t>
      </w:r>
      <w:r>
        <w:t xml:space="preserve"> </w:t>
      </w:r>
      <w:r>
        <w:t xml:space="preserve">concordance the mean over the four of those carrying Cell Ontology ids, and cost is the mean</w:t>
      </w:r>
      <w:r>
        <w:t xml:space="preserve"> </w:t>
      </w:r>
      <w:r>
        <w:t xml:space="preserve">per query. The two brain splits are reported per dataset in Table 5 instead (see above). Bold marks the best value in a column.</w:t>
      </w:r>
    </w:p>
    <w:p>
      <w:pPr>
        <w:pStyle w:val="BodyText"/>
      </w:pPr>
      <w:r>
        <w:t xml:space="preserve">*In Table 3, scANVI does most of its work in one train+predict pass, attributed to predict.</w:t>
      </w:r>
    </w:p>
    <w:p>
      <w:pPr>
        <w:pStyle w:val="BodyText"/>
      </w:pPr>
      <w:r>
        <w:t xml:space="preserve">The top four methods span</w:t>
      </w:r>
      <w:r>
        <w:t xml:space="preserve"> </w:t>
      </w:r>
      <w:r>
        <w:rPr>
          <w:b/>
          <w:bCs/>
        </w:rPr>
        <w:t xml:space="preserve">0.008 in accuracy, ~205× in predict time</w:t>
      </w:r>
      <w:r>
        <w:t xml:space="preserve"> </w:t>
      </w:r>
      <w:r>
        <w:t xml:space="preserve">(0.33 s to 67 s) and</w:t>
      </w:r>
      <w:r>
        <w:t xml:space="preserve"> </w:t>
      </w:r>
      <w:r>
        <w:t xml:space="preserve">2.5× in memory. That accuracy span is not a ranking and should not be read as one: the</w:t>
      </w:r>
      <w:r>
        <w:t xml:space="preserve"> </w:t>
      </w:r>
      <w:r>
        <w:t xml:space="preserve">stochastic methods move further than 0.008 between identical reruns on their own — scANVI by</w:t>
      </w:r>
      <w:r>
        <w:t xml:space="preserve"> </w:t>
      </w:r>
      <w:r>
        <w:t xml:space="preserve">up to 0.056 across its three repeats — so which of the top four places second and which places</w:t>
      </w:r>
      <w:r>
        <w:t xml:space="preserve"> </w:t>
      </w:r>
      <w:r>
        <w:t xml:space="preserve">third is decided by seeds, not by method. The cost column is what separates them, and scANVI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123× slower than actinn-jax</w:t>
      </w:r>
      <w:r>
        <w:t xml:space="preserve"> </w:t>
      </w:r>
      <w:r>
        <w:t xml:space="preserve">at accuracy that is tied within that noise. The linear</w:t>
      </w:r>
      <w:r>
        <w:t xml:space="preserve"> </w:t>
      </w:r>
      <w:r>
        <w:t xml:space="preserve">pipeline is both the most accurate and the fastest to fit, and pays for it in memory — 4386 vs</w:t>
      </w:r>
      <w:r>
        <w:t xml:space="preserve"> </w:t>
      </w:r>
      <w:r>
        <w:t xml:space="preserve">2391 MB — because ANOVA/PCA densify</w:t>
      </w:r>
      <w:r>
        <w:t xml:space="preserve"> </w:t>
      </w:r>
      <w:r>
        <w:t xml:space="preserve">a cells × genes matrix while actinn-jax stays sparse; that ~1.8× ratio widens to ~2× at atlas</w:t>
      </w:r>
      <w:r>
        <w:t xml:space="preserve"> </w:t>
      </w:r>
      <w:r>
        <w:t xml:space="preserve">scale (6.1 vs 13.2 GB at 49k cells, §4). The two profiles suit different jobs: one-shot</w:t>
      </w:r>
      <w:r>
        <w:t xml:space="preserve"> </w:t>
      </w:r>
      <w:r>
        <w:t xml:space="preserve">labeling, versus a reference</w:t>
      </w:r>
      <w:r>
        <w:t xml:space="preserve"> </w:t>
      </w:r>
      <w:r>
        <w:rPr>
          <w:b/>
          <w:bCs/>
        </w:rPr>
        <w:t xml:space="preserve">trained once and reused</w:t>
      </w:r>
      <w:r>
        <w:t xml:space="preserve">, where a cached model pays fit once</w:t>
      </w:r>
      <w:r>
        <w:t xml:space="preserve"> </w:t>
      </w:r>
      <w:r>
        <w:t xml:space="preserve">while the linear pipeline refits scaler/PCA/classifier for every query. ProtoCloud’s 222 s CPU</w:t>
      </w:r>
      <w:r>
        <w:t xml:space="preserve"> </w:t>
      </w:r>
      <w:r>
        <w:t xml:space="preserve">fit buys nothing at this reference size — and buys the top accuracy at atlas scale (§3.3).</w:t>
      </w:r>
    </w:p>
    <w:p>
      <w:pPr>
        <w:pStyle w:val="BodyText"/>
      </w:pPr>
      <w:r>
        <w:rPr>
          <w:b/>
          <w:bCs/>
        </w:rPr>
        <w:t xml:space="preserve">Pretrained annotators, scored ontology-only.</w:t>
      </w:r>
      <w:r>
        <w:t xml:space="preserve"> </w:t>
      </w:r>
      <w:r>
        <w:t xml:space="preserve">The two methods with fixed label vocabularies</w:t>
      </w:r>
      <w:r>
        <w:t xml:space="preserve"> </w:t>
      </w:r>
      <w:r>
        <w:t xml:space="preserve">(§2.2, §2.4) cannot appear in Table 3, since they do not predict the dataset’s label</w:t>
      </w:r>
      <w:r>
        <w:t xml:space="preserve"> </w:t>
      </w:r>
      <w:r>
        <w:t xml:space="preserve">strings. They are scored by ontology concordance on the three datasets where reference and query</w:t>
      </w:r>
      <w:r>
        <w:t xml:space="preserve"> </w:t>
      </w:r>
      <w:r>
        <w:t xml:space="preserve">both carry CL ids and share a vocabulary, with actinn-jax on the same splits for reference: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lung_intra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liver_intra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liver_cross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predict 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actinn-jax (reference-trained)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0.846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0.27–0.37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Pan-human Azimuth (pretrained)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2.2–3.4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scPRINT (zero-shot)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62.3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4.</w:t>
      </w:r>
      <w:r>
        <w:t xml:space="preserve"> </w:t>
      </w:r>
      <w:r>
        <w:t xml:space="preserve">Pretrained annotators, scored by ontology concordance only, on the three datasets</w:t>
      </w:r>
      <w:r>
        <w:t xml:space="preserve"> </w:t>
      </w:r>
      <w:r>
        <w:t xml:space="preserve">where reference and query both carry Cell Ontology ids and share a vocabulary — with reference-trained actinn-jax on</w:t>
      </w:r>
      <w:r>
        <w:t xml:space="preserve"> </w:t>
      </w:r>
      <w:r>
        <w:t xml:space="preserve">the same splits for scale. Not a like-for-like comparison; see the text below.</w:t>
      </w:r>
    </w:p>
    <w:p>
      <w:pPr>
        <w:pStyle w:val="BodyText"/>
      </w:pPr>
      <w:r>
        <w:rPr>
          <w:b/>
          <w:bCs/>
        </w:rPr>
        <w:t xml:space="preserve">This is not a like-for-like comparison and should not be read as one.</w:t>
      </w:r>
      <w:r>
        <w:t xml:space="preserve"> </w:t>
      </w:r>
      <w:r>
        <w:t xml:space="preserve">actinn-jax is trained</w:t>
      </w:r>
      <w:r>
        <w:t xml:space="preserve"> </w:t>
      </w:r>
      <w:r>
        <w:t xml:space="preserve">on a reference drawn from the same data and scored in its own vocabulary; Pan-human Azimuth has</w:t>
      </w:r>
      <w:r>
        <w:t xml:space="preserve"> </w:t>
      </w:r>
      <w:r>
        <w:t xml:space="preserve">never seen these datasets and answers in a different one. A reference-trained model</w:t>
      </w:r>
      <w:r>
        <w:t xml:space="preserve"> </w:t>
      </w:r>
      <w:r>
        <w:rPr>
          <w:i/>
          <w:iCs/>
        </w:rPr>
        <w:t xml:space="preserve">should</w:t>
      </w:r>
      <w:r>
        <w:t xml:space="preserve"> </w:t>
      </w:r>
      <w:r>
        <w:t xml:space="preserve">win. What the block does establish is the distance between a curated supervised annotator and a</w:t>
      </w:r>
      <w:r>
        <w:t xml:space="preserve"> </w:t>
      </w:r>
      <w:r>
        <w:t xml:space="preserve">zero-shot foundation head — 0.700 against 0.201 on lung — and it sets up §3.4, where Azimuth</w:t>
      </w:r>
      <w:r>
        <w:t xml:space="preserve"> </w:t>
      </w:r>
      <w:r>
        <w:t xml:space="preserve">serves as a broad pass in its own right and as a distillation teacher. Peak memory is</w:t>
      </w:r>
      <w:r>
        <w:t xml:space="preserve"> </w:t>
      </w:r>
      <w:r>
        <w:t xml:space="preserve">indistinguishable between actinn-jax and Azimuth (1.65–2.1 GB on every dataset).</w:t>
      </w:r>
    </w:p>
    <w:p>
      <w:pPr>
        <w:pStyle w:val="BodyText"/>
      </w:pPr>
      <w:r>
        <w:t xml:space="preserve">Those four are the tuned</w:t>
      </w:r>
      <w:r>
        <w:t xml:space="preserve"> </w:t>
      </w:r>
      <w:r>
        <w:rPr>
          <w:b/>
          <w:bCs/>
        </w:rPr>
        <w:t xml:space="preserve">linear pipeline (0.839)</w:t>
      </w:r>
      <w:r>
        <w:t xml:space="preserve">, scANVI (0.833), scArches (0.832) and</w:t>
      </w:r>
      <w:r>
        <w:t xml:space="preserve"> </w:t>
      </w:r>
      <w:r>
        <w:t xml:space="preserve">actinn-jax (0.831) — led by the linear pipeline rather than by a deep model. CellTypist</w:t>
      </w:r>
      <w:r>
        <w:t xml:space="preserve"> </w:t>
      </w:r>
      <w:r>
        <w:t xml:space="preserve">(0.823) sits just outside them. actinn-jax has the best</w:t>
      </w:r>
      <w:r>
        <w:t xml:space="preserve"> </w:t>
      </w:r>
      <w:r>
        <w:t xml:space="preserve">ontology-aware concordance (0.811), marginally ahead of scANVI’s 0.809 — a gap well inside</w:t>
      </w:r>
      <w:r>
        <w:t xml:space="preserve"> </w:t>
      </w:r>
      <w:r>
        <w:t xml:space="preserve">repeat noise, so read it as a tie rather than a lead. ProtoCloud (0.790) and scTOP</w:t>
      </w:r>
      <w:r>
        <w:t xml:space="preserve"> </w:t>
      </w:r>
      <w:r>
        <w:t xml:space="preserve">(0.739) sit below that cluster on these subsampled references: both need conditions these</w:t>
      </w:r>
      <w:r>
        <w:t xml:space="preserve"> </w:t>
      </w:r>
      <w:r>
        <w:t xml:space="preserve">splits do not provide — ProtoCloud is data-hungry and becomes the strongest method once given</w:t>
      </w:r>
      <w:r>
        <w:t xml:space="preserve"> </w:t>
      </w:r>
      <w:r>
        <w:t xml:space="preserve">a real atlas (§3.3), while scTOP is built for small,</w:t>
      </w:r>
      <w:r>
        <w:t xml:space="preserve"> </w:t>
      </w:r>
      <w:r>
        <w:t xml:space="preserve">low-cardinality problems. Per dataset (accuracy):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actinn-jax</w:t>
            </w:r>
          </w:p>
        </w:tc>
        <w:tc>
          <w:tcPr/>
          <w:p>
            <w:pPr>
              <w:pStyle w:val="Compact"/>
            </w:pPr>
            <w:r>
              <w:t xml:space="preserve">best method (acc)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lung_intra (46 types)</w:t>
            </w:r>
          </w:p>
        </w:tc>
        <w:tc>
          <w:tcPr/>
          <w:p>
            <w:pPr>
              <w:pStyle w:val="Compact"/>
            </w:pPr>
            <w:r>
              <w:t xml:space="preserve">0.894</w:t>
            </w:r>
          </w:p>
        </w:tc>
        <w:tc>
          <w:tcPr/>
          <w:p>
            <w:pPr>
              <w:pStyle w:val="Compact"/>
            </w:pPr>
            <w:r>
              <w:t xml:space="preserve">ProtoCloud 0.932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lung_cross (cross-dataset)†</w:t>
            </w:r>
          </w:p>
        </w:tc>
        <w:tc>
          <w:tcPr/>
          <w:p>
            <w:pPr>
              <w:pStyle w:val="Compact"/>
            </w:pPr>
            <w:r>
              <w:t xml:space="preserve">0.358 exact / 0.752 ontology</w:t>
            </w:r>
          </w:p>
        </w:tc>
        <w:tc>
          <w:tcPr/>
          <w:p>
            <w:pPr>
              <w:pStyle w:val="Compact"/>
            </w:pPr>
            <w:r>
              <w:t xml:space="preserve">ProtoCloud 0.374 /</w:t>
            </w:r>
            <w:r>
              <w:t xml:space="preserve"> </w:t>
            </w:r>
            <w:r>
              <w:rPr>
                <w:b/>
                <w:bCs/>
              </w:rPr>
              <w:t xml:space="preserve">0.791 ontology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liver_intra (36 types)</w:t>
            </w:r>
          </w:p>
        </w:tc>
        <w:tc>
          <w:tcPr/>
          <w:p>
            <w:pPr>
              <w:pStyle w:val="Compact"/>
            </w:pPr>
            <w:r>
              <w:t xml:space="preserve">0.802</w:t>
            </w:r>
          </w:p>
        </w:tc>
        <w:tc>
          <w:tcPr/>
          <w:p>
            <w:pPr>
              <w:pStyle w:val="Compact"/>
            </w:pPr>
            <w:r>
              <w:t xml:space="preserve">linear-anova-pca 0.804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liver_cross (cross-study)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0.686 exact / 0.731 ontology</w:t>
            </w:r>
          </w:p>
        </w:tc>
        <w:tc>
          <w:tcPr/>
          <w:p>
            <w:pPr>
              <w:pStyle w:val="Compact"/>
            </w:pPr>
            <w:r>
              <w:t xml:space="preserve">actinn-jax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blood_gut (86 types)</w:t>
            </w:r>
          </w:p>
        </w:tc>
        <w:tc>
          <w:tcPr/>
          <w:p>
            <w:pPr>
              <w:pStyle w:val="Compact"/>
            </w:pPr>
            <w:r>
              <w:t xml:space="preserve">0.860</w:t>
            </w:r>
          </w:p>
        </w:tc>
        <w:tc>
          <w:tcPr/>
          <w:p>
            <w:pPr>
              <w:pStyle w:val="Compact"/>
            </w:pPr>
            <w:r>
              <w:t xml:space="preserve">linear-anova-pca 0.902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pbmc (8 types)</w:t>
            </w:r>
          </w:p>
        </w:tc>
        <w:tc>
          <w:tcPr/>
          <w:p>
            <w:pPr>
              <w:pStyle w:val="Compact"/>
            </w:pPr>
            <w:r>
              <w:t xml:space="preserve">0.913</w:t>
            </w:r>
          </w:p>
        </w:tc>
        <w:tc>
          <w:tcPr/>
          <w:p>
            <w:pPr>
              <w:pStyle w:val="Compact"/>
            </w:pPr>
            <w:r>
              <w:t xml:space="preserve">scArches 0.940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brain, subclass (24 types)</w:t>
            </w:r>
          </w:p>
        </w:tc>
        <w:tc>
          <w:tcPr/>
          <w:p>
            <w:pPr>
              <w:pStyle w:val="Compact"/>
            </w:pPr>
            <w:r>
              <w:t xml:space="preserve">0.986</w:t>
            </w:r>
          </w:p>
        </w:tc>
        <w:tc>
          <w:tcPr/>
          <w:p>
            <w:pPr>
              <w:pStyle w:val="Compact"/>
            </w:pPr>
            <w:r>
              <w:t xml:space="preserve">ProtoCloud 0.991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brain, cluster (151 types)‡</w:t>
            </w:r>
          </w:p>
        </w:tc>
        <w:tc>
          <w:tcPr/>
          <w:p>
            <w:pPr>
              <w:pStyle w:val="Compact"/>
            </w:pPr>
            <w:r>
              <w:t xml:space="preserve">0.741</w:t>
            </w:r>
          </w:p>
        </w:tc>
        <w:tc>
          <w:tcPr/>
          <w:p>
            <w:pPr>
              <w:pStyle w:val="Compact"/>
            </w:pPr>
            <w:r>
              <w:t xml:space="preserve">SingleR 0.845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5.</w:t>
      </w:r>
      <w:r>
        <w:t xml:space="preserve"> </w:t>
      </w:r>
      <w:r>
        <w:t xml:space="preserve">Per-dataset accuracy: actinn-jax against whichever method leads that dataset.</w:t>
      </w:r>
      <w:r>
        <w:t xml:space="preserve"> </w:t>
      </w:r>
      <w:r>
        <w:t xml:space="preserve">† on lung_cross the exact-match score is a vocabulary artifact, so ontology concordance is the</w:t>
      </w:r>
      <w:r>
        <w:t xml:space="preserve"> </w:t>
      </w:r>
      <w:r>
        <w:t xml:space="preserve">meaningful column. ‡ the two brain rows are the same nuclei scored at two resolutions of the</w:t>
      </w:r>
      <w:r>
        <w:t xml:space="preserve"> </w:t>
      </w:r>
      <w:r>
        <w:t xml:space="preserve">same taxonomy; see below.</w:t>
      </w:r>
    </w:p>
    <w:p>
      <w:pPr>
        <w:pStyle w:val="BodyText"/>
      </w:pPr>
      <w:r>
        <w:t xml:space="preserve">No single method leads everywhere: ProtoCloud takes three splits, the linear pipeline two,</w:t>
      </w:r>
      <w:r>
        <w:t xml:space="preserve"> </w:t>
      </w:r>
      <w:r>
        <w:t xml:space="preserve">and actinn-jax, scArches and SingleR one apiece. actinn-jax leads the cross-study liver split —</w:t>
      </w:r>
      <w:r>
        <w:t xml:space="preserve"> </w:t>
      </w:r>
      <w:r>
        <w:t xml:space="preserve">the hardest generalization regime here, and the one closest to real reference mapping — and is</w:t>
      </w:r>
      <w:r>
        <w:t xml:space="preserve"> </w:t>
      </w:r>
      <w:r>
        <w:t xml:space="preserve">second on within-dataset liver, while trailing on lung, on the 86-type blood+gut set (−4.2 pt</w:t>
      </w:r>
      <w:r>
        <w:t xml:space="preserve"> </w:t>
      </w:r>
      <w:r>
        <w:t xml:space="preserve">to the linear pipeline), and on small-n pbmc. Outside brain, the spread across the leading</w:t>
      </w:r>
      <w:r>
        <w:t xml:space="preserve"> </w:t>
      </w:r>
      <w:r>
        <w:t xml:space="preserve">methods on any one dataset is 1–4 points, and scmap-cluster is the weakest on accuracy and</w:t>
      </w:r>
      <w:r>
        <w:t xml:space="preserve"> </w:t>
      </w:r>
      <w:r>
        <w:t xml:space="preserve">macro-F1 throughout (0.23 macro-F1 on liver_cross), though not on ontology concordance.</w:t>
      </w:r>
    </w:p>
    <w:p>
      <w:pPr>
        <w:pStyle w:val="BodyText"/>
      </w:pPr>
      <w:r>
        <w:rPr>
          <w:b/>
          <w:bCs/>
        </w:rPr>
        <w:t xml:space="preserve">The two brain splits are the same nuclei at two resolutions.</w:t>
      </w:r>
      <w:r>
        <w:t xml:space="preserve"> </w:t>
      </w:r>
      <w:r>
        <w:t xml:space="preserve">At Allen’s 24 subclasses ten</w:t>
      </w:r>
      <w:r>
        <w:t xml:space="preserve"> </w:t>
      </w:r>
      <w:r>
        <w:t xml:space="preserve">of the eleven methods fall inside 0.017 of each other (0.974–0.991, with scmap-cluster alone</w:t>
      </w:r>
      <w:r>
        <w:t xml:space="preserve"> </w:t>
      </w:r>
      <w:r>
        <w:t xml:space="preserve">below at 0.901) and no method moves more than 0.003 between repeats, so that split does not</w:t>
      </w:r>
      <w:r>
        <w:t xml:space="preserve"> </w:t>
      </w:r>
      <w:r>
        <w:t xml:space="preserve">separate them. At the 151 clusters the ranking</w:t>
      </w:r>
      <w:r>
        <w:t xml:space="preserve"> </w:t>
      </w:r>
      <w:r>
        <w:rPr>
          <w:b/>
          <w:bCs/>
        </w:rPr>
        <w:t xml:space="preserve">inverts</w:t>
      </w:r>
      <w:r>
        <w:t xml:space="preserve">. SingleR leads at 0.845, having</w:t>
      </w:r>
      <w:r>
        <w:t xml:space="preserve"> </w:t>
      </w:r>
      <w:r>
        <w:t xml:space="preserve">placed eighth of eleven overall; scmap-cluster, last everywhere else at 0.646, reaches 0.810;</w:t>
      </w:r>
      <w:r>
        <w:t xml:space="preserve"> </w:t>
      </w:r>
      <w:r>
        <w:t xml:space="preserve">and actinn-jax falls to 0.741, tenth. The two correlation methods gain where the trained</w:t>
      </w:r>
      <w:r>
        <w:t xml:space="preserve"> </w:t>
      </w:r>
      <w:r>
        <w:t xml:space="preserve">classifiers lose.</w:t>
      </w:r>
    </w:p>
    <w:p>
      <w:pPr>
        <w:pStyle w:val="BodyText"/>
      </w:pPr>
      <w:r>
        <w:t xml:space="preserve">We checked three explanations for that. Every method ran at the same defaults as on the other</w:t>
      </w:r>
      <w:r>
        <w:t xml:space="preserve"> </w:t>
      </w:r>
      <w:r>
        <w:t xml:space="preserve">six splits. Raising actinn-jax’s 50 training epochs to 150 and then 400 moves it 0.741 → 0.746</w:t>
      </w:r>
      <w:r>
        <w:t xml:space="preserve"> </w:t>
      </w:r>
      <w:r>
        <w:t xml:space="preserve">→ 0.747, so eight times the training buys 0.006. And the reference is not unusually thin: this</w:t>
      </w:r>
      <w:r>
        <w:t xml:space="preserve"> </w:t>
      </w:r>
      <w:r>
        <w:t xml:space="preserve">split gives 72 reference nuclei per class against 89 on blood+gut, where actinn-jax scores</w:t>
      </w:r>
      <w:r>
        <w:t xml:space="preserve"> </w:t>
      </w:r>
      <w:r>
        <w:t xml:space="preserve">0.860. What remains is cardinality, and the provenance of the labels:</w:t>
      </w:r>
      <w:r>
        <w:t xml:space="preserve"> </w:t>
      </w:r>
      <w:r>
        <w:rPr>
          <w:b/>
          <w:bCs/>
        </w:rPr>
        <w:t xml:space="preserve">cluster-level labels</w:t>
      </w:r>
      <w:r>
        <w:rPr>
          <w:b/>
          <w:bCs/>
        </w:rPr>
        <w:t xml:space="preserve"> </w:t>
      </w:r>
      <w:r>
        <w:rPr>
          <w:b/>
          <w:bCs/>
        </w:rPr>
        <w:t xml:space="preserve">are the output of clustering this same expression space</w:t>
      </w:r>
      <w:r>
        <w:t xml:space="preserve">, which favors methods that classify</w:t>
      </w:r>
      <w:r>
        <w:t xml:space="preserve"> </w:t>
      </w:r>
      <w:r>
        <w:t xml:space="preserve">by distance to a class centroid. Methods also disagree about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clusters are hard</w:t>
      </w:r>
      <w:r>
        <w:t xml:space="preserve"> </w:t>
      </w:r>
      <w:r>
        <w:t xml:space="preserve">(Supplementary Figure S5): median best-minus-worst recall 0.32 per class, mean pairwise</w:t>
      </w:r>
      <w:r>
        <w:t xml:space="preserve"> </w:t>
      </w:r>
      <w:r>
        <w:t xml:space="preserve">Spearman 0.61, concentrated in the graded</w:t>
      </w:r>
      <w:r>
        <w:t xml:space="preserve"> </w:t>
      </w:r>
      <w:r>
        <w:rPr>
          <w:rStyle w:val="VerbatimChar"/>
        </w:rPr>
        <w:t xml:space="preserve">L2/3 IT</w:t>
      </w:r>
      <w:r>
        <w:t xml:space="preserve">,</w:t>
      </w:r>
      <w:r>
        <w:t xml:space="preserve"> </w:t>
      </w:r>
      <w:r>
        <w:rPr>
          <w:rStyle w:val="VerbatimChar"/>
        </w:rPr>
        <w:t xml:space="preserve">Sst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Vip</w:t>
      </w:r>
      <w:r>
        <w:t xml:space="preserve"> </w:t>
      </w:r>
      <w:r>
        <w:t xml:space="preserve">families rather than in</w:t>
      </w:r>
      <w:r>
        <w:t xml:space="preserve"> </w:t>
      </w:r>
      <w:r>
        <w:t xml:space="preserve">the rare classes.</w:t>
      </w:r>
    </w:p>
    <w:p>
      <w:pPr>
        <w:pStyle w:val="BodyText"/>
      </w:pPr>
      <w:r>
        <w:rPr>
          <w:b/>
          <w:bCs/>
        </w:rPr>
        <w:t xml:space="preserve">† lung_cross exact-match accuracy (~0.35 for every method) is a label-vocabulary artifact, not</w:t>
      </w:r>
      <w:r>
        <w:rPr>
          <w:b/>
          <w:bCs/>
        </w:rPr>
        <w:t xml:space="preserve"> </w:t>
      </w:r>
      <w:r>
        <w:rPr>
          <w:b/>
          <w:bCs/>
        </w:rPr>
        <w:t xml:space="preserve">a transfer failure.</w:t>
      </w:r>
      <w:r>
        <w:t xml:space="preserve"> </w:t>
      </w:r>
      <w:r>
        <w:t xml:space="preserve">HLCA (reference) and Krasnow (query) were annotated independently and</w:t>
      </w:r>
      <w:r>
        <w:t xml:space="preserve"> </w:t>
      </w:r>
      <w:r>
        <w:t xml:space="preserve">share only</w:t>
      </w:r>
      <w:r>
        <w:t xml:space="preserve"> </w:t>
      </w:r>
      <w:r>
        <w:rPr>
          <w:b/>
          <w:bCs/>
        </w:rPr>
        <w:t xml:space="preserve">20 of 46 cell-type names</w:t>
      </w:r>
      <w:r>
        <w:t xml:space="preserve">; 26 of Krasnow’s types are absent from HLCA’s</w:t>
      </w:r>
      <w:r>
        <w:t xml:space="preserve"> </w:t>
      </w:r>
      <w:r>
        <w:t xml:space="preserve">vocabulary, so no classifier can emit the exact string. The mismatch is granularity: HLCA’s</w:t>
      </w:r>
      <w:r>
        <w:t xml:space="preserve"> </w:t>
      </w:r>
      <w:r>
        <w:t xml:space="preserve">finer taxonomy has</w:t>
      </w:r>
      <w:r>
        <w:t xml:space="preserve"> </w:t>
      </w:r>
      <w:r>
        <w:rPr>
          <w:rStyle w:val="VerbatimChar"/>
        </w:rPr>
        <w:t xml:space="preserve">alveolar / elicited / lung macrophage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no generic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macrophage</w:t>
      </w:r>
      <w:r>
        <w:t xml:space="preserve"> </w:t>
      </w:r>
      <w:r>
        <w:t xml:space="preserve">(CL:0000235), while Krasnow labels many cells generic</w:t>
      </w:r>
      <w:r>
        <w:t xml:space="preserve"> </w:t>
      </w:r>
      <w:r>
        <w:rPr>
          <w:rStyle w:val="VerbatimChar"/>
        </w:rPr>
        <w:t xml:space="preserve">macrophage</w:t>
      </w:r>
      <w:r>
        <w:t xml:space="preserve"> </w:t>
      </w:r>
      <w:r>
        <w:t xml:space="preserve">— so an HLCA-trained</w:t>
      </w:r>
      <w:r>
        <w:t xml:space="preserve"> </w:t>
      </w:r>
      <w:r>
        <w:t xml:space="preserve">model predicts</w:t>
      </w:r>
      <w:r>
        <w:t xml:space="preserve"> </w:t>
      </w:r>
      <w:r>
        <w:rPr>
          <w:rStyle w:val="VerbatimChar"/>
        </w:rPr>
        <w:t xml:space="preserve">lung macrophage</w:t>
      </w:r>
      <w:r>
        <w:t xml:space="preserve"> </w:t>
      </w:r>
      <w:r>
        <w:t xml:space="preserve">(CL:1001603) for them, exact-wrong but ontology-correct</w:t>
      </w:r>
      <w:r>
        <w:t xml:space="preserve"> </w:t>
      </w:r>
      <w:r>
        <w:t xml:space="preserve">(</w:t>
      </w:r>
      <w:r>
        <w:rPr>
          <w:i/>
          <w:iCs/>
        </w:rPr>
        <w:t xml:space="preserve">lung macrophage is-a macrophage</w:t>
      </w:r>
      <w:r>
        <w:t xml:space="preserve">); likewise Krasnow’s generic</w:t>
      </w:r>
      <w:r>
        <w:t xml:space="preserve"> </w:t>
      </w:r>
      <w:r>
        <w:rPr>
          <w:rStyle w:val="VerbatimChar"/>
        </w:rPr>
        <w:t xml:space="preserve">endothelial cell</w:t>
      </w:r>
      <w:r>
        <w:t xml:space="preserve"> </w:t>
      </w:r>
      <w:r>
        <w:t xml:space="preserve">(CL:0000115) has no HLCA counterpart.</w:t>
      </w:r>
      <w:r>
        <w:t xml:space="preserve"> </w:t>
      </w:r>
      <w:r>
        <w:rPr>
          <w:b/>
          <w:bCs/>
        </w:rPr>
        <w:t xml:space="preserve">Ontology-aware concordance — which credits a</w:t>
      </w:r>
      <w:r>
        <w:rPr>
          <w:b/>
          <w:bCs/>
        </w:rPr>
        <w:t xml:space="preserve"> </w:t>
      </w:r>
      <w:r>
        <w:rPr>
          <w:b/>
          <w:bCs/>
        </w:rPr>
        <w:t xml:space="preserve">same-lineage call — is ~0.75 for the trained methods (0.67–0.79 across the full panel,</w:t>
      </w:r>
      <w:r>
        <w:rPr>
          <w:b/>
          <w:bCs/>
        </w:rPr>
        <w:t xml:space="preserve"> </w:t>
      </w:r>
      <w:r>
        <w:rPr>
          <w:b/>
          <w:bCs/>
        </w:rPr>
        <w:t xml:space="preserve">highest for ProtoCloud)</w:t>
      </w:r>
      <w:r>
        <w:t xml:space="preserve">, so cross-dataset transfer actually</w:t>
      </w:r>
      <w:r>
        <w:t xml:space="preserve"> </w:t>
      </w:r>
      <w:r>
        <w:t xml:space="preserve">works; exact-match just conflates classifier error with vocabulary/granularity mismatch.</w:t>
      </w:r>
      <w:r>
        <w:t xml:space="preserve"> </w:t>
      </w:r>
      <w:r>
        <w:t xml:space="preserve">This is precisely why we report ontology concordance, and it is a general benchmarking</w:t>
      </w:r>
      <w:r>
        <w:t xml:space="preserve"> </w:t>
      </w:r>
      <w:r>
        <w:t xml:space="preserve">pitfall:</w:t>
      </w:r>
      <w:r>
        <w:t xml:space="preserve"> </w:t>
      </w:r>
      <w:r>
        <w:rPr>
          <w:b/>
          <w:bCs/>
        </w:rPr>
        <w:t xml:space="preserve">cross-dataset exact-match accuracy between independently-annotated atlases is not a</w:t>
      </w:r>
      <w:r>
        <w:rPr>
          <w:b/>
          <w:bCs/>
        </w:rPr>
        <w:t xml:space="preserve"> </w:t>
      </w:r>
      <w:r>
        <w:rPr>
          <w:b/>
          <w:bCs/>
        </w:rPr>
        <w:t xml:space="preserve">meaningful accuracy signal.</w:t>
      </w:r>
      <w:r>
        <w:t xml:space="preserve"> </w:t>
      </w:r>
      <w:r>
        <w:t xml:space="preserve">The other five datasets use a single shared label vocabulary</w:t>
      </w:r>
      <w:r>
        <w:t xml:space="preserve"> </w:t>
      </w:r>
      <w:r>
        <w:t xml:space="preserve">for reference and query (a split of one atlas, or HLiCA’s harmonized annotations), so their</w:t>
      </w:r>
      <w:r>
        <w:t xml:space="preserve"> </w:t>
      </w:r>
      <w:r>
        <w:t xml:space="preserve">exact scores are unaffected.</w:t>
      </w:r>
    </w:p>
    <w:bookmarkEnd w:id="47"/>
    <w:bookmarkStart w:id="51" w:name="the-accuracy-speed-frontier"/>
    <w:p>
      <w:pPr>
        <w:pStyle w:val="Heading2"/>
      </w:pPr>
      <w:r>
        <w:t xml:space="preserve">The accuracy × speed frontier</w:t>
      </w:r>
    </w:p>
    <w:p>
      <w:pPr>
        <w:pStyle w:val="FirstParagraph"/>
      </w:pPr>
      <w:r>
        <w:drawing>
          <wp:inline>
            <wp:extent cx="5334000" cy="2668748"/>
            <wp:effectExtent b="0" l="0" r="0" t="0"/>
            <wp:docPr descr="accuracy and cost across every split" title="" id="49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cost_accuracy_ranges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87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1.</w:t>
      </w:r>
      <w:r>
        <w:t xml:space="preserve"> </w:t>
      </w:r>
      <w:r>
        <w:t xml:space="preserve">Eleven methods over seven splits (lung_cross excluded, see the † note above).</w:t>
      </w:r>
      <w:r>
        <w:t xml:space="preserve"> </w:t>
      </w:r>
      <w:r>
        <w:rPr>
          <w:i/>
          <w:iCs/>
        </w:rPr>
        <w:t xml:space="preserve">A:</w:t>
      </w:r>
      <w:r>
        <w:t xml:space="preserve"> </w:t>
      </w:r>
      <w:r>
        <w:t xml:space="preserve">accuracy as the</w:t>
      </w:r>
      <w:r>
        <w:t xml:space="preserve"> </w:t>
      </w:r>
      <w:r>
        <w:rPr>
          <w:b/>
          <w:bCs/>
        </w:rPr>
        <w:t xml:space="preserve">gap to whichever method leads that split</w:t>
      </w:r>
      <w:r>
        <w:t xml:space="preserve">. Raw accuracy is dominated by</w:t>
      </w:r>
      <w:r>
        <w:t xml:space="preserve"> </w:t>
      </w:r>
      <w:r>
        <w:t xml:space="preserve">how hard a split is — 0.94 on pbmc against 0.36 on cross-dataset lung — so a range drawn over</w:t>
      </w:r>
      <w:r>
        <w:t xml:space="preserve"> </w:t>
      </w:r>
      <w:r>
        <w:t xml:space="preserve">raw accuracy would measure the datasets rather than the methods; zero is that split’s leader,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leads N</w:t>
      </w:r>
      <w:r>
        <w:t xml:space="preserve"> </w:t>
      </w:r>
      <w:r>
        <w:t xml:space="preserve">counts the splits a method wins.</w:t>
      </w:r>
      <w:r>
        <w:t xml:space="preserve"> </w:t>
      </w:r>
      <w:r>
        <w:rPr>
          <w:i/>
          <w:iCs/>
        </w:rPr>
        <w:t xml:space="preserve">B:</w:t>
      </w:r>
      <w:r>
        <w:t xml:space="preserve"> </w:t>
      </w:r>
      <w:r>
        <w:t xml:space="preserve">fit + predict on the same splits, log</w:t>
      </w:r>
      <w:r>
        <w:t xml:space="preserve"> </w:t>
      </w:r>
      <w:r>
        <w:t xml:space="preserve">scale. Diamonds are means over splits, small dots the individual splits, and the line runs from</w:t>
      </w:r>
      <w:r>
        <w:t xml:space="preserve"> </w:t>
      </w:r>
      <w:r>
        <w:t xml:space="preserve">the method’s worst split to its best. Ranges over the three repeats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a split are too</w:t>
      </w:r>
      <w:r>
        <w:t xml:space="preserve"> </w:t>
      </w:r>
      <w:r>
        <w:t xml:space="preserve">small to draw here: only scANVI (0.056) and scArches (0.020) move more than 0.009, and five</w:t>
      </w:r>
      <w:r>
        <w:t xml:space="preserve"> </w:t>
      </w:r>
      <w:r>
        <w:t xml:space="preserve">methods are exactly deterministic. Per-split detail, unnormalized and with those repeat ranges,</w:t>
      </w:r>
      <w:r>
        <w:t xml:space="preserve"> </w:t>
      </w:r>
      <w:r>
        <w:t xml:space="preserve">is Supplementary Figure S11.</w:t>
      </w:r>
    </w:p>
    <w:p>
      <w:pPr>
        <w:pStyle w:val="BodyText"/>
      </w:pPr>
      <w:r>
        <w:t xml:space="preserve">Six methods sit within</w:t>
      </w:r>
      <w:r>
        <w:t xml:space="preserve"> </w:t>
      </w:r>
      <w:r>
        <w:rPr>
          <w:b/>
          <w:bCs/>
        </w:rPr>
        <w:t xml:space="preserve">0.035</w:t>
      </w:r>
      <w:r>
        <w:t xml:space="preserve"> </w:t>
      </w:r>
      <w:r>
        <w:t xml:space="preserve">of the per-split leader on average while spanning</w:t>
      </w:r>
      <w:r>
        <w:t xml:space="preserve"> </w:t>
      </w:r>
      <w:r>
        <w:rPr>
          <w:b/>
          <w:bCs/>
        </w:rPr>
        <w:t xml:space="preserve">3.4 s to</w:t>
      </w:r>
      <w:r>
        <w:rPr>
          <w:b/>
          <w:bCs/>
        </w:rPr>
        <w:t xml:space="preserve"> </w:t>
      </w:r>
      <w:r>
        <w:rPr>
          <w:b/>
          <w:bCs/>
        </w:rPr>
        <w:t xml:space="preserve">57 s</w:t>
      </w:r>
      <w:r>
        <w:t xml:space="preserve">, and the full panel spans</w:t>
      </w:r>
      <w:r>
        <w:t xml:space="preserve"> </w:t>
      </w:r>
      <w:r>
        <w:rPr>
          <w:b/>
          <w:bCs/>
        </w:rPr>
        <w:t xml:space="preserve">0.5 s to 178 s</w:t>
      </w:r>
      <w:r>
        <w:t xml:space="preserve">. The</w:t>
      </w:r>
      <w:r>
        <w:t xml:space="preserve"> </w:t>
      </w:r>
      <w:r>
        <w:rPr>
          <w:b/>
          <w:bCs/>
        </w:rPr>
        <w:t xml:space="preserve">tuned linear pipeline</w:t>
      </w:r>
      <w:r>
        <w:t xml:space="preserve"> </w:t>
      </w:r>
      <w:r>
        <w:t xml:space="preserve">is both</w:t>
      </w:r>
      <w:r>
        <w:t xml:space="preserve"> </w:t>
      </w:r>
      <w:r>
        <w:t xml:space="preserve">closest to the leader (mean gap 0.014, leading two</w:t>
      </w:r>
      <w:r>
        <w:t xml:space="preserve"> </w:t>
      </w:r>
      <w:r>
        <w:t xml:space="preserve">splits) and the cheapest of that group at 3.4 s; kNN and scTOP are faster still, at 0.5 s and</w:t>
      </w:r>
      <w:r>
        <w:t xml:space="preserve"> </w:t>
      </w:r>
      <w:r>
        <w:t xml:space="preserve">2.2 s, but give up 0.08 and 0.10, so they hold a different corner of the frontier rather than</w:t>
      </w:r>
      <w:r>
        <w:t xml:space="preserve"> </w:t>
      </w:r>
      <w:r>
        <w:t xml:space="preserve">sitting inside it. The deep methods buy little on accuracy — scANVI and scArches place second</w:t>
      </w:r>
      <w:r>
        <w:t xml:space="preserve"> </w:t>
      </w:r>
      <w:r>
        <w:t xml:space="preserve">and third by gap, 0.003 and 0.004 behind the linear pipeline, which is inside their own rerun</w:t>
      </w:r>
      <w:r>
        <w:t xml:space="preserve"> </w:t>
      </w:r>
      <w:r>
        <w:t xml:space="preserve">noise — and pay 15× its total time for that.</w:t>
      </w:r>
      <w:r>
        <w:t xml:space="preserve"> </w:t>
      </w:r>
      <w:r>
        <w:rPr>
          <w:b/>
          <w:bCs/>
        </w:rPr>
        <w:t xml:space="preserve">actinn-jax</w:t>
      </w:r>
      <w:r>
        <w:t xml:space="preserve"> </w:t>
      </w:r>
      <w:r>
        <w:t xml:space="preserve">sits mid-panel: mean gap 0.031 at</w:t>
      </w:r>
      <w:r>
        <w:t xml:space="preserve"> </w:t>
      </w:r>
      <w:r>
        <w:t xml:space="preserve">17.9 s, leading the cross-study liver split. What separates it is not on this plot at all but</w:t>
      </w:r>
      <w:r>
        <w:t xml:space="preserve"> </w:t>
      </w:r>
      <w:r>
        <w:t xml:space="preserve">on the scaling axes of §3.3 — predict time flat in reference size, and ~2× lower peak memory</w:t>
      </w:r>
      <w:r>
        <w:t xml:space="preserve"> </w:t>
      </w:r>
      <w:r>
        <w:t xml:space="preserve">that holds to atlas scale.</w:t>
      </w:r>
    </w:p>
    <w:p>
      <w:pPr>
        <w:pStyle w:val="BodyText"/>
      </w:pPr>
      <w:r>
        <w:t xml:space="preserve">Every method’s spread across splits is larger than the distance between the leading methods:</w:t>
      </w:r>
      <w:r>
        <w:t xml:space="preserve"> </w:t>
      </w:r>
      <w:r>
        <w:t xml:space="preserve">scmap-cluster spans 0.035 to 0.451, SingleR 0.000 to 0.191, actinn-jax 0.000 to 0.104. A mean</w:t>
      </w:r>
      <w:r>
        <w:t xml:space="preserve"> </w:t>
      </w:r>
      <w:r>
        <w:t xml:space="preserve">over a panel of datasets, including the one in Table 3, summarizes that spread with a single</w:t>
      </w:r>
      <w:r>
        <w:t xml:space="preserve"> </w:t>
      </w:r>
      <w:r>
        <w:t xml:space="preserve">number.</w:t>
      </w:r>
    </w:p>
    <w:bookmarkEnd w:id="51"/>
    <w:bookmarkStart w:id="61" w:name="scaling"/>
    <w:p>
      <w:pPr>
        <w:pStyle w:val="Heading2"/>
      </w:pPr>
      <w:r>
        <w:t xml:space="preserve">Scaling</w:t>
      </w:r>
    </w:p>
    <w:p>
      <w:pPr>
        <w:pStyle w:val="FirstParagraph"/>
      </w:pPr>
      <w:r>
        <w:drawing>
          <wp:inline>
            <wp:extent cx="5334000" cy="3543185"/>
            <wp:effectExtent b="0" l="0" r="0" t="0"/>
            <wp:docPr descr="scaling" title="" id="53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scaling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431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Fit and predict time against reference size and label cardinality, for the six</w:t>
      </w:r>
      <w:r>
        <w:t xml:space="preserve"> </w:t>
      </w:r>
      <w:r>
        <w:t xml:space="preserve">CPU methods. Fit grows with both axes for every trained method, steeply for CellTypist and the</w:t>
      </w:r>
      <w:r>
        <w:t xml:space="preserve"> </w:t>
      </w:r>
      <w:r>
        <w:t xml:space="preserve">SVM. Predict is flat in reference size for all six, so that flatness is a property of cached</w:t>
      </w:r>
      <w:r>
        <w:t xml:space="preserve"> </w:t>
      </w:r>
      <w:r>
        <w:t xml:space="preserve">inference generally rather than of any one method; the axis that separates them is cardinality,</w:t>
      </w:r>
      <w:r>
        <w:t xml:space="preserve"> </w:t>
      </w:r>
      <w:r>
        <w:t xml:space="preserve">where actinn-jax rises 3.2× from 5 to 86 types against the tuned linear pipeline’s 11.9×, the</w:t>
      </w:r>
      <w:r>
        <w:t xml:space="preserve"> </w:t>
      </w:r>
      <w:r>
        <w:t xml:space="preserve">two meeting at ~0.30 s. SVM and kNN predict faster than either throughout. scTOP’s</w:t>
      </w:r>
      <w:r>
        <w:t xml:space="preserve"> </w:t>
      </w:r>
      <w:r>
        <w:t xml:space="preserve">smallest-reference point carries one-time import cost and is not a scaling effect.</w:t>
      </w:r>
    </w:p>
    <w:p>
      <w:pPr>
        <w:pStyle w:val="BodyText"/>
      </w:pPr>
      <w:r>
        <w:t xml:space="preserve">Fit time grows with reference size and with #cell types for all trained methods —</w:t>
      </w:r>
      <w:r>
        <w:t xml:space="preserve"> </w:t>
      </w:r>
      <w:r>
        <w:t xml:space="preserve">actinn-jax’s fit goes 3 s → 17 s → 29 s as the reference grows 965 → 14.8k → 24k cells, below</w:t>
      </w:r>
      <w:r>
        <w:t xml:space="preserve"> </w:t>
      </w:r>
      <w:r>
        <w:t xml:space="preserve">CellTypist (7 s → 68 s → 123 s) and SVM (4 s → 54 s → 89 s) at every size in the sweep, and</w:t>
      </w:r>
      <w:r>
        <w:t xml:space="preserve"> </w:t>
      </w:r>
      <w:r>
        <w:t xml:space="preserve">above the tuned linear pipeline (2 s → 10 s → 19 s); kNN does no work at fit time beyond</w:t>
      </w:r>
      <w:r>
        <w:t xml:space="preserve"> </w:t>
      </w:r>
      <w:r>
        <w:t xml:space="preserve">storing the reference, so all of its cost lands on predict, where it is also the least accurate</w:t>
      </w:r>
      <w:r>
        <w:t xml:space="preserve"> </w:t>
      </w:r>
      <w:r>
        <w:t xml:space="preserve">method here.</w:t>
      </w:r>
    </w:p>
    <w:p>
      <w:pPr>
        <w:pStyle w:val="BodyText"/>
      </w:pPr>
      <w:r>
        <w:t xml:space="preserve">On the other axis,</w:t>
      </w:r>
      <w:r>
        <w:t xml:space="preserve"> </w:t>
      </w:r>
      <w:r>
        <w:rPr>
          <w:b/>
          <w:bCs/>
        </w:rPr>
        <w:t xml:space="preserve">predict stays sub-second for every method across the whole sweep</w:t>
      </w:r>
      <w:r>
        <w:t xml:space="preserve">, and</w:t>
      </w:r>
      <w:r>
        <w:t xml:space="preserve"> </w:t>
      </w:r>
      <w:r>
        <w:t xml:space="preserve">the first thing to say is that flatness in reference size does not distinguish anything: all</w:t>
      </w:r>
      <w:r>
        <w:t xml:space="preserve"> </w:t>
      </w:r>
      <w:r>
        <w:t xml:space="preserve">six move by 1.2–1.9× while the reference grows twenty-five-fold, because a cached model’s</w:t>
      </w:r>
      <w:r>
        <w:t xml:space="preserve"> </w:t>
      </w:r>
      <w:r>
        <w:t xml:space="preserve">inference does not depend on how many cells trained it. Cardinality is where they part.</w:t>
      </w:r>
      <w:r>
        <w:t xml:space="preserve"> </w:t>
      </w:r>
      <w:r>
        <w:t xml:space="preserve">actinn-jax rises 3.2× from 5 to 86 types (0.09 → 0.30 s); the tuned linear pipeline starts</w:t>
      </w:r>
      <w:r>
        <w:t xml:space="preserve"> </w:t>
      </w:r>
      <w:r>
        <w:t xml:space="preserve">three and a half times cheaper and rises 11.9× (0.03 → 0.31 s), so the two arrive at the same</w:t>
      </w:r>
      <w:r>
        <w:t xml:space="preserve"> </w:t>
      </w:r>
      <w:r>
        <w:t xml:space="preserve">place; scTOP rises 11.0×. Neither of the two cheapest is ours — SVM (0.015–0.076 s) and kNN</w:t>
      </w:r>
      <w:r>
        <w:t xml:space="preserve"> </w:t>
      </w:r>
      <w:r>
        <w:t xml:space="preserve">(0.021–0.263 s) predict faster than actinn-jax everywhere, and pay for it in accuracy (Table 3).</w:t>
      </w:r>
    </w:p>
    <w:p>
      <w:pPr>
        <w:pStyle w:val="BodyText"/>
      </w:pPr>
      <w:r>
        <w:t xml:space="preserve">What the cached reference buys is therefore not a uniquely flat predict but the right</w:t>
      </w:r>
      <w:r>
        <w:t xml:space="preserve"> </w:t>
      </w:r>
      <w:r>
        <w:rPr>
          <w:i/>
          <w:iCs/>
        </w:rPr>
        <w:t xml:space="preserve">ratio</w:t>
      </w:r>
      <w:r>
        <w:t xml:space="preserve">:</w:t>
      </w:r>
      <w:r>
        <w:t xml:space="preserve"> </w:t>
      </w:r>
      <w:r>
        <w:t xml:space="preserve">a sub-second call recurring against a fit of 19–123 s that is paid once. That is the regime</w:t>
      </w:r>
      <w:r>
        <w:t xml:space="preserve"> </w:t>
      </w:r>
      <w:r>
        <w:t xml:space="preserve">that matters when one reference serves many queries, and it is what makes chaining several</w:t>
      </w:r>
      <w:r>
        <w:t xml:space="preserve"> </w:t>
      </w:r>
      <w:r>
        <w:t xml:space="preserve">annotation stages practical; it would be as true of the linear pipeline if it cached its</w:t>
      </w:r>
      <w:r>
        <w:t xml:space="preserve"> </w:t>
      </w:r>
      <w:r>
        <w:t xml:space="preserve">scaler, PCA and classifier rather than refitting them per query. (This sweep’s own</w:t>
      </w:r>
      <w:r>
        <w:t xml:space="preserve"> </w:t>
      </w:r>
      <w:r>
        <w:t xml:space="preserve">memory column is process-cumulative and not a clean per-size measurement; the atlas sweep</w:t>
      </w:r>
      <w:r>
        <w:t xml:space="preserve"> </w:t>
      </w:r>
      <w:r>
        <w:t xml:space="preserve">below and the matrix of §3.1 both run each method in its own process, and are what the</w:t>
      </w:r>
      <w:r>
        <w:t xml:space="preserve"> </w:t>
      </w:r>
      <w:r>
        <w:t xml:space="preserve">memory numbers come from.)</w:t>
      </w:r>
    </w:p>
    <w:p>
      <w:pPr>
        <w:pStyle w:val="BodyText"/>
      </w:pPr>
      <w:r>
        <w:rPr>
          <w:b/>
          <w:bCs/>
        </w:rPr>
        <w:t xml:space="preserve">At atlas scale the ordering changes.</w:t>
      </w:r>
      <w:r>
        <w:t xml:space="preserve"> </w:t>
      </w:r>
      <w:r>
        <w:t xml:space="preserve">The sweep above stops at 24k cells. Carrying four</w:t>
      </w:r>
      <w:r>
        <w:t xml:space="preserve"> </w:t>
      </w:r>
      <w:r>
        <w:t xml:space="preserve">methods to full atlas size — 49k reference cells on lung, 47k on the HLiCA liver atlas —</w:t>
      </w:r>
      <w:r>
        <w:t xml:space="preserve"> </w:t>
      </w:r>
      <w:r>
        <w:t xml:space="preserve">reverses the accuracy ranking (Figure 3A, B). ProtoCloud goes from the weakest method at 3k</w:t>
      </w:r>
      <w:r>
        <w:t xml:space="preserve"> </w:t>
      </w:r>
      <w:r>
        <w:t xml:space="preserve">cells (0.722 lung, 0.581 liver) to the strongest at full scale (</w:t>
      </w:r>
      <w:r>
        <w:rPr>
          <w:b/>
          <w:bCs/>
        </w:rPr>
        <w:t xml:space="preserve">0.976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0.905</w:t>
      </w:r>
      <w:r>
        <w:t xml:space="preserve">),</w:t>
      </w:r>
      <w:r>
        <w:t xml:space="preserve"> </w:t>
      </w:r>
      <w:r>
        <w:t xml:space="preserve">clear of the linear pipeline (0.939, 0.863) and actinn-jax (0.936, 0.824), at 19× actinn-jax’s</w:t>
      </w:r>
      <w:r>
        <w:t xml:space="preserve"> </w:t>
      </w:r>
      <w:r>
        <w:t xml:space="preserve">CPU fit cost. scTOP gains little from scale on lung (0.819 → 0.846, barely outside its</w:t>
      </w:r>
      <w:r>
        <w:t xml:space="preserve"> </w:t>
      </w:r>
      <w:r>
        <w:t xml:space="preserve">interval) and loses ground on liver (0.657 → 0.583). Peak memory grows for every method, but the spread stays</w:t>
      </w:r>
      <w:r>
        <w:t xml:space="preserve"> </w:t>
      </w:r>
      <w:r>
        <w:rPr>
          <w:b/>
          <w:bCs/>
        </w:rPr>
        <w:t xml:space="preserve">bounded at ~2×</w:t>
      </w:r>
      <w:r>
        <w:t xml:space="preserve"> </w:t>
      </w:r>
      <w:r>
        <w:t xml:space="preserve">rather than widening (Figure 3C): the linear pipeline is heaviest throughout — 13.2 GB against</w:t>
      </w:r>
      <w:r>
        <w:t xml:space="preserve"> </w:t>
      </w:r>
      <w:r>
        <w:t xml:space="preserve">actinn-jax’s 6.1 GB at 49k lung cells, a 2.15× ratio — and scTOP crosses over from lightest to</w:t>
      </w:r>
      <w:r>
        <w:t xml:space="preserve"> </w:t>
      </w:r>
      <w:r>
        <w:t xml:space="preserve">heaviest as its rank processing densifies (9.3 vs 6.5 GB at 47k liver cells). Conclusions drawn</w:t>
      </w:r>
      <w:r>
        <w:t xml:space="preserve"> </w:t>
      </w:r>
      <w:r>
        <w:t xml:space="preserve">from subsampled references do not transfer to atlas scale, in either direction.</w:t>
      </w:r>
    </w:p>
    <w:p>
      <w:pPr>
        <w:pStyle w:val="BodyText"/>
      </w:pPr>
      <w:r>
        <w:drawing>
          <wp:inline>
            <wp:extent cx="5334000" cy="1702553"/>
            <wp:effectExtent b="0" l="0" r="0" t="0"/>
            <wp:docPr descr="accuracy and memory against reference size on two atlases" title="" id="56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atlas_scaling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025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3.</w:t>
      </w:r>
      <w:r>
        <w:t xml:space="preserve"> </w:t>
      </w:r>
      <w:r>
        <w:t xml:space="preserve">Accuracy and peak memory against reference size, four methods carried to full</w:t>
      </w:r>
      <w:r>
        <w:t xml:space="preserve"> </w:t>
      </w:r>
      <w:r>
        <w:t xml:space="preserve">atlas scale on two datasets.</w:t>
      </w:r>
      <w:r>
        <w:t xml:space="preserve"> </w:t>
      </w:r>
      <w:r>
        <w:rPr>
          <w:i/>
          <w:iCs/>
        </w:rPr>
        <w:t xml:space="preserve">A:</w:t>
      </w:r>
      <w:r>
        <w:t xml:space="preserve"> </w:t>
      </w:r>
      <w:r>
        <w:t xml:space="preserve">lung, 3k → 49k reference cells.</w:t>
      </w:r>
      <w:r>
        <w:t xml:space="preserve"> </w:t>
      </w:r>
      <w:r>
        <w:rPr>
          <w:i/>
          <w:iCs/>
        </w:rPr>
        <w:t xml:space="preserve">B:</w:t>
      </w:r>
      <w:r>
        <w:t xml:space="preserve"> </w:t>
      </w:r>
      <w:r>
        <w:t xml:space="preserve">the HLiCA liver atlas,</w:t>
      </w:r>
      <w:r>
        <w:t xml:space="preserve"> </w:t>
      </w:r>
      <w:r>
        <w:t xml:space="preserve">2.7k → 47k, an independent replication of the same reversal.</w:t>
      </w:r>
      <w:r>
        <w:t xml:space="preserve"> </w:t>
      </w:r>
      <w:r>
        <w:rPr>
          <w:i/>
          <w:iCs/>
        </w:rPr>
        <w:t xml:space="preserve">C:</w:t>
      </w:r>
      <w:r>
        <w:t xml:space="preserve"> </w:t>
      </w:r>
      <w:r>
        <w:t xml:space="preserve">peak memory over both</w:t>
      </w:r>
      <w:r>
        <w:t xml:space="preserve"> </w:t>
      </w:r>
      <w:r>
        <w:t xml:space="preserve">sweeps. Error bars on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are 95% binomial intervals on the query, which grows with</w:t>
      </w:r>
      <w:r>
        <w:t xml:space="preserve"> </w:t>
      </w:r>
      <w:r>
        <w:t xml:space="preserve">the reference (1,035 to 16,398 cells on lung), so they narrow from left to right; each point</w:t>
      </w:r>
      <w:r>
        <w:t xml:space="preserve"> </w:t>
      </w:r>
      <w:r>
        <w:t xml:space="preserve">is a single run, so they cover sampling of the query and not run-to-run variation. Peak memory</w:t>
      </w:r>
      <w:r>
        <w:t xml:space="preserve"> </w:t>
      </w:r>
      <w:r>
        <w:t xml:space="preserve">is not a proportion and carries none. Fit time is not plotted: the 47k liver point was measured</w:t>
      </w:r>
      <w:r>
        <w:t xml:space="preserve"> </w:t>
      </w:r>
      <w:r>
        <w:t xml:space="preserve">under CPU contention, so a cost axis there would report scheduling rather than scaling.</w:t>
      </w:r>
    </w:p>
    <w:p>
      <w:pPr>
        <w:pStyle w:val="BodyText"/>
      </w:pPr>
      <w:r>
        <w:rPr>
          <w:b/>
          <w:bCs/>
        </w:rPr>
        <w:t xml:space="preserve">Annotating an atlas costs less than building one.</w:t>
      </w:r>
      <w:r>
        <w:t xml:space="preserve"> </w:t>
      </w:r>
      <w:r>
        <w:t xml:space="preserve">The sweeps above grow the reference</w:t>
      </w:r>
      <w:r>
        <w:t xml:space="preserve"> </w:t>
      </w:r>
      <w:r>
        <w:t xml:space="preserve">and hold the query fixed. The reverse case is the one a user meets most often – a reference</w:t>
      </w:r>
      <w:r>
        <w:t xml:space="preserve"> </w:t>
      </w:r>
      <w:r>
        <w:t xml:space="preserve">built once, then pointed at everything – and it is where a flat inference profile should</w:t>
      </w:r>
      <w:r>
        <w:t xml:space="preserve"> </w:t>
      </w:r>
      <w:r>
        <w:t xml:space="preserve">pay. Holding the reference at 17,753 cells drawn from seven HLiCA studies and growing the</w:t>
      </w:r>
      <w:r>
        <w:t xml:space="preserve"> </w:t>
      </w:r>
      <w:r>
        <w:t xml:space="preserve">query from 50k cells to the entire 524,699-cell atlas, actinn-jax annotates the whole atlas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41 s</w:t>
      </w:r>
      <w:r>
        <w:t xml:space="preserve"> </w:t>
      </w:r>
      <w:r>
        <w:t xml:space="preserve">(Figure 4A). Accuracy on the withheld eighth study is 0.720 and does not move</w:t>
      </w:r>
      <w:r>
        <w:t xml:space="preserve"> </w:t>
      </w:r>
      <w:r>
        <w:t xml:space="preserve">across the range, as it should not: the subsets are nested.</w:t>
      </w:r>
    </w:p>
    <w:p>
      <w:pPr>
        <w:pStyle w:val="BodyText"/>
      </w:pPr>
      <w:r>
        <w:t xml:space="preserve">The tuned linear pipeline stays three to four times slower throughout, annotating the same</w:t>
      </w:r>
      <w:r>
        <w:t xml:space="preserve"> </w:t>
      </w:r>
      <w:r>
        <w:t xml:space="preserve">atlas in 126 s, but the gap narrows as the query grows and the reason is ours rather than</w:t>
      </w:r>
      <w:r>
        <w:t xml:space="preserve"> </w:t>
      </w:r>
      <w:r>
        <w:t xml:space="preserve">theirs: actinn-jax gives up 31% of its rate across the range, 18,400 → 12,800 cells/s, while</w:t>
      </w:r>
      <w:r>
        <w:t xml:space="preserve"> </w:t>
      </w:r>
      <w:r>
        <w:t xml:space="preserve">the linear pipeline holds essentially flat at ~4,200, losing 6% (Figure 4B). The advantage is</w:t>
      </w:r>
      <w:r>
        <w:t xml:space="preserve"> </w:t>
      </w:r>
      <w:r>
        <w:t xml:space="preserve">4.2× at 50k cells and 3.1× at the full atlas. It is the cheaper method whose per-cell cost</w:t>
      </w:r>
      <w:r>
        <w:t xml:space="preserve"> </w:t>
      </w:r>
      <w:r>
        <w:t xml:space="preserve">drifts upward here, which is the opposite of what a flat-inference argument predicts, so the</w:t>
      </w:r>
      <w:r>
        <w:t xml:space="preserve"> </w:t>
      </w:r>
      <w:r>
        <w:t xml:space="preserve">claim this axis supports is a three- to fourfold constant factor rather than flatness. The</w:t>
      </w:r>
      <w:r>
        <w:t xml:space="preserve"> </w:t>
      </w:r>
      <w:r>
        <w:t xml:space="preserve">flat-inference result in §3.1 is a</w:t>
      </w:r>
      <w:r>
        <w:t xml:space="preserve"> </w:t>
      </w:r>
      <w:r>
        <w:rPr>
          <w:i/>
          <w:iCs/>
        </w:rPr>
        <w:t xml:space="preserve">reference</w:t>
      </w:r>
      <w:r>
        <w:t xml:space="preserve">-axis result and should not be read onto this</w:t>
      </w:r>
      <w:r>
        <w:t xml:space="preserve"> </w:t>
      </w:r>
      <w:r>
        <w:t xml:space="preserve">one.</w:t>
      </w:r>
    </w:p>
    <w:p>
      <w:pPr>
        <w:pStyle w:val="BodyText"/>
      </w:pPr>
      <w:r>
        <w:rPr>
          <w:b/>
          <w:bCs/>
        </w:rPr>
        <w:t xml:space="preserve">This inverts the Table 3 ordering, and the two measurements do not overlap.</w:t>
      </w:r>
      <w:r>
        <w:t xml:space="preserve"> </w:t>
      </w:r>
      <w:r>
        <w:t xml:space="preserve">Every query in</w:t>
      </w:r>
      <w:r>
        <w:t xml:space="preserve"> </w:t>
      </w:r>
      <w:r>
        <w:t xml:space="preserve">this sweep holds 50,000 cells or more; every query in Table 3 holds 13,550 or fewer, so no</w:t>
      </w:r>
      <w:r>
        <w:t xml:space="preserve"> </w:t>
      </w:r>
      <w:r>
        <w:t xml:space="preserve">query size is measured in both, and the crossover falls in the untested gap between them.</w:t>
      </w:r>
    </w:p>
    <w:p>
      <w:pPr>
        <w:pStyle w:val="BodyText"/>
      </w:pPr>
      <w:r>
        <w:t xml:space="preserve">Within Table 3’s range the ordering is mixed rather than uniform. The linear pipeline predicts</w:t>
      </w:r>
      <w:r>
        <w:t xml:space="preserve"> </w:t>
      </w:r>
      <w:r>
        <w:t xml:space="preserve">faster on six of the eight splits, by 1.3× to 3.1×, and actinn-jax is faster on liver_cross</w:t>
      </w:r>
      <w:r>
        <w:t xml:space="preserve"> </w:t>
      </w:r>
      <w:r>
        <w:t xml:space="preserve">(0.217 s against 0.267 s for 3,396 cells) and level on the brain cluster split (0.363 against</w:t>
      </w:r>
      <w:r>
        <w:t xml:space="preserve"> </w:t>
      </w:r>
      <w:r>
        <w:t xml:space="preserve">0.372 for 3,618). Query size does not order those outcomes — actinn-jax wins at 3,396 cells and</w:t>
      </w:r>
      <w:r>
        <w:t xml:space="preserve"> </w:t>
      </w:r>
      <w:r>
        <w:t xml:space="preserve">loses at 13,550 — because the two methods’ per-cell costs depend on the gene panel each dataset</w:t>
      </w:r>
      <w:r>
        <w:t xml:space="preserve"> </w:t>
      </w:r>
      <w:r>
        <w:t xml:space="preserve">selects. Table 3’s 0.54 s against 0.33 s is a mean over that mixture, not a result that holds</w:t>
      </w:r>
      <w:r>
        <w:t xml:space="preserve"> </w:t>
      </w:r>
      <w:r>
        <w:t xml:space="preserve">per dataset.</w:t>
      </w:r>
    </w:p>
    <w:p>
      <w:pPr>
        <w:pStyle w:val="BodyText"/>
      </w:pPr>
      <w:r>
        <w:t xml:space="preserve">Part of the small-query gap is one-time cost. Calling</w:t>
      </w:r>
      <w:r>
        <w:t xml:space="preserve"> </w:t>
      </w:r>
      <w:r>
        <w:rPr>
          <w:rStyle w:val="VerbatimChar"/>
        </w:rPr>
        <w:t xml:space="preserve">predict</w:t>
      </w:r>
      <w:r>
        <w:t xml:space="preserve"> </w:t>
      </w:r>
      <w:r>
        <w:t xml:space="preserve">repeatedly on one liver_intra</w:t>
      </w:r>
      <w:r>
        <w:t xml:space="preserve"> </w:t>
      </w:r>
      <w:r>
        <w:t xml:space="preserve">model and query settles from 0.24–0.30 s on the first call to 0.12–0.13 s by the third (two</w:t>
      </w:r>
      <w:r>
        <w:t xml:space="preserve"> </w:t>
      </w:r>
      <w:r>
        <w:t xml:space="preserve">runs,</w:t>
      </w:r>
      <w:r>
        <w:t xml:space="preserve"> </w:t>
      </w:r>
      <w:r>
        <w:rPr>
          <w:rStyle w:val="VerbatimChar"/>
        </w:rPr>
        <w:t xml:space="preserve">predict_overhead_probe.py</w:t>
      </w:r>
      <w:r>
        <w:t xml:space="preserve">), so roughly 0.12–0.17 s is compilation and warm-up — about</w:t>
      </w:r>
      <w:r>
        <w:t xml:space="preserve"> </w:t>
      </w:r>
      <w:r>
        <w:t xml:space="preserve">half the first call at 1,332 cells, and near a tenth of it at 13,550. The harness times the</w:t>
      </w:r>
      <w:r>
        <w:t xml:space="preserve"> </w:t>
      </w:r>
      <w:r>
        <w:t xml:space="preserve">first call, which is what a one-shot annotation costs, but it means Table 3 charges actinn-jax</w:t>
      </w:r>
      <w:r>
        <w:t xml:space="preserve"> </w:t>
      </w:r>
      <w:r>
        <w:t xml:space="preserve">a fixed cost that the linear pipeline does not pay.</w:t>
      </w:r>
    </w:p>
    <w:p>
      <w:pPr>
        <w:pStyle w:val="BodyText"/>
      </w:pPr>
      <w:r>
        <w:t xml:space="preserve">At atlas scale a different mechanism dominates and the ordering stops being mixed. actinn-jax</w:t>
      </w:r>
      <w:r>
        <w:t xml:space="preserve"> </w:t>
      </w:r>
      <w:r>
        <w:t xml:space="preserve">climbs from 4,100–15,700 cells/s on the Table 3 queries to 12,800–18,400 here, while the linear</w:t>
      </w:r>
      <w:r>
        <w:t xml:space="preserve"> </w:t>
      </w:r>
      <w:r>
        <w:t xml:space="preserve">pipeline falls from 9,700–13,000 to ~4,200, because its dense feature block leaves cache:</w:t>
      </w:r>
      <w:r>
        <w:t xml:space="preserve"> </w:t>
      </w:r>
      <w:r>
        <w:t xml:space="preserve">20,000 genes over 1,332 cells is 107 MB, and the same 20,000 genes over a 50,000-cell block is</w:t>
      </w:r>
      <w:r>
        <w:t xml:space="preserve"> </w:t>
      </w:r>
      <w:r>
        <w:t xml:space="preserve">4 GB and bounded by memory bandwidth. Which method is cheaper therefore depends on how many</w:t>
      </w:r>
      <w:r>
        <w:t xml:space="preserve"> </w:t>
      </w:r>
      <w:r>
        <w:t xml:space="preserve">cells are annotated at once — which a benchmark reporting one query size cannot show.</w:t>
      </w:r>
    </w:p>
    <w:p>
      <w:pPr>
        <w:pStyle w:val="BodyText"/>
      </w:pPr>
      <w:r>
        <w:rPr>
          <w:b/>
          <w:bCs/>
        </w:rPr>
        <w:t xml:space="preserve">Peak memory does not separate them at all.</w:t>
      </w:r>
      <w:r>
        <w:t xml:space="preserve"> </w:t>
      </w:r>
      <w:r>
        <w:t xml:space="preserve">Both land at 26–28 GB on the full atlas</w:t>
      </w:r>
      <w:r>
        <w:t xml:space="preserve"> </w:t>
      </w:r>
      <w:r>
        <w:t xml:space="preserve">(Figure 4C), because on this axis peak memory measures holding the query rather than running</w:t>
      </w:r>
      <w:r>
        <w:t xml:space="preserve"> </w:t>
      </w:r>
      <w:r>
        <w:t xml:space="preserve">the method: at the largest size, prediction added nothing measurable on top of the resident</w:t>
      </w:r>
      <w:r>
        <w:t xml:space="preserve"> </w:t>
      </w:r>
      <w:r>
        <w:t xml:space="preserve">query for either. A caller streaming from disk would pay less, and would pay it equally. The</w:t>
      </w:r>
      <w:r>
        <w:t xml:space="preserve"> </w:t>
      </w:r>
      <w:r>
        <w:t xml:space="preserve">~2× memory band reported above is likewise a</w:t>
      </w:r>
      <w:r>
        <w:t xml:space="preserve"> </w:t>
      </w:r>
      <w:r>
        <w:rPr>
          <w:i/>
          <w:iCs/>
        </w:rPr>
        <w:t xml:space="preserve">reference</w:t>
      </w:r>
      <w:r>
        <w:t xml:space="preserve">-axis result and does not carry to</w:t>
      </w:r>
      <w:r>
        <w:t xml:space="preserve"> </w:t>
      </w:r>
      <w:r>
        <w:t xml:space="preserve">this one; only the reference axis separates these methods on memory.</w:t>
      </w:r>
    </w:p>
    <w:p>
      <w:pPr>
        <w:pStyle w:val="BodyText"/>
      </w:pPr>
      <w:r>
        <w:t xml:space="preserve">Two conditions of this measurement. Prediction in our linear adapter blocks the query into</w:t>
      </w:r>
      <w:r>
        <w:t xml:space="preserve"> </w:t>
      </w:r>
      <w:r>
        <w:t xml:space="preserve">50,000-cell chunks. Unblocked, it densifies 20,000 genes for the whole query at once, which</w:t>
      </w:r>
      <w:r>
        <w:t xml:space="preserve"> </w:t>
      </w:r>
      <w:r>
        <w:t xml:space="preserve">needs roughly 126 GB at the full atlas and does not complete on a 51 GB machine — a property of</w:t>
      </w:r>
      <w:r>
        <w:t xml:space="preserve"> </w:t>
      </w:r>
      <w:r>
        <w:t xml:space="preserve">the wrapper rather than of the recipe. Blocking leaves every prediction bit-identical, and is</w:t>
      </w:r>
      <w:r>
        <w:t xml:space="preserve"> </w:t>
      </w:r>
      <w:r>
        <w:t xml:space="preserve">verified to. Second, these are laptop numbers, so each point is the fastest of three runs: a competing process can only add time, and stalls on this</w:t>
      </w:r>
      <w:r>
        <w:t xml:space="preserve"> </w:t>
      </w:r>
      <w:r>
        <w:t xml:space="preserve">machine are large and sporadic rather than small and Gaussian – one repeat turned a 50 s fit</w:t>
      </w:r>
      <w:r>
        <w:t xml:space="preserve"> </w:t>
      </w:r>
      <w:r>
        <w:t xml:space="preserve">into 975 s, and no mean over three runs would survive that. Peak memory takes the largest of</w:t>
      </w:r>
      <w:r>
        <w:t xml:space="preserve"> </w:t>
      </w:r>
      <w:r>
        <w:t xml:space="preserve">three instead, since</w:t>
      </w:r>
      <w:r>
        <w:t xml:space="preserve"> </w:t>
      </w:r>
      <w:r>
        <w:rPr>
          <w:rStyle w:val="VerbatimChar"/>
        </w:rPr>
        <w:t xml:space="preserve">ru_maxrss</w:t>
      </w:r>
      <w:r>
        <w:t xml:space="preserve"> </w:t>
      </w:r>
      <w:r>
        <w:t xml:space="preserve">counts resident pages and therefore reports</w:t>
      </w:r>
      <w:r>
        <w:t xml:space="preserve"> </w:t>
      </w:r>
      <w:r>
        <w:rPr>
          <w:i/>
          <w:iCs/>
        </w:rPr>
        <w:t xml:space="preserve">less</w:t>
      </w:r>
      <w:r>
        <w:t xml:space="preserve"> </w:t>
      </w:r>
      <w:r>
        <w:t xml:space="preserve">than a run</w:t>
      </w:r>
      <w:r>
        <w:t xml:space="preserve"> </w:t>
      </w:r>
      <w:r>
        <w:t xml:space="preserve">needed whenever the OS evicts under pressure. Per-run values are released with the harness so</w:t>
      </w:r>
      <w:r>
        <w:t xml:space="preserve"> </w:t>
      </w:r>
      <w:r>
        <w:t xml:space="preserve">the spread is inspectable rather than summarised away.</w:t>
      </w:r>
    </w:p>
    <w:p>
      <w:pPr>
        <w:pStyle w:val="BodyText"/>
      </w:pPr>
      <w:r>
        <w:drawing>
          <wp:inline>
            <wp:extent cx="5334000" cy="1838894"/>
            <wp:effectExtent b="0" l="0" r="0" t="0"/>
            <wp:docPr descr="annotating an atlas: cost against query size" title="" id="59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query_scaling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38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4.</w:t>
      </w:r>
      <w:r>
        <w:t xml:space="preserve"> </w:t>
      </w:r>
      <w:r>
        <w:t xml:space="preserve">Cost against query size — 50,000 to 524,699 cells — with the reference fixed at</w:t>
      </w:r>
      <w:r>
        <w:t xml:space="preserve"> </w:t>
      </w:r>
      <w:r>
        <w:t xml:space="preserve">17,753 cells. Table 3’s queries are all smaller than the leftmost point here (657 to 13,550</w:t>
      </w:r>
      <w:r>
        <w:t xml:space="preserve"> </w:t>
      </w:r>
      <w:r>
        <w:t xml:space="preserve">cells), so the two do not overlap.</w:t>
      </w:r>
      <w:r>
        <w:t xml:space="preserve"> </w:t>
      </w:r>
      <w:r>
        <w:rPr>
          <w:i/>
          <w:iCs/>
        </w:rPr>
        <w:t xml:space="preserve">A:</w:t>
      </w:r>
      <w:r>
        <w:t xml:space="preserve"> </w:t>
      </w:r>
      <w:r>
        <w:t xml:space="preserve">wall-clock to annotate the query.</w:t>
      </w:r>
      <w:r>
        <w:t xml:space="preserve"> </w:t>
      </w:r>
      <w:r>
        <w:rPr>
          <w:i/>
          <w:iCs/>
        </w:rPr>
        <w:t xml:space="preserve">B:</w:t>
      </w:r>
      <w:r>
        <w:t xml:space="preserve"> </w:t>
      </w:r>
      <w:r>
        <w:t xml:space="preserve">throughput, which declines 31% for actinn-jax and holds flat for</w:t>
      </w:r>
      <w:r>
        <w:t xml:space="preserve"> </w:t>
      </w:r>
      <w:r>
        <w:t xml:space="preserve">the linear pipeline, narrowing the advantage from 4.2× to 3.1×.</w:t>
      </w:r>
      <w:r>
        <w:t xml:space="preserve"> </w:t>
      </w:r>
      <w:r>
        <w:rPr>
          <w:i/>
          <w:iCs/>
        </w:rPr>
        <w:t xml:space="preserve">C:</w:t>
      </w:r>
      <w:r>
        <w:t xml:space="preserve"> </w:t>
      </w:r>
      <w:r>
        <w:t xml:space="preserve">peak memory, which does</w:t>
      </w:r>
      <w:r>
        <w:t xml:space="preserve"> </w:t>
      </w:r>
      <w:r>
        <w:t xml:space="preserve">not distinguish them – on this axis it measures holding the query, not running the method. Three</w:t>
      </w:r>
      <w:r>
        <w:t xml:space="preserve"> </w:t>
      </w:r>
      <w:r>
        <w:t xml:space="preserve">runs per point on a shared laptop: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report the fastest run, since contention can</w:t>
      </w:r>
      <w:r>
        <w:t xml:space="preserve"> </w:t>
      </w:r>
      <w:r>
        <w:t xml:space="preserve">only add time, and</w:t>
      </w:r>
      <w:r>
        <w:t xml:space="preserve"> </w:t>
      </w:r>
      <w:r>
        <w:rPr>
          <w:i/>
          <w:iCs/>
        </w:rPr>
        <w:t xml:space="preserve">C</w:t>
      </w:r>
      <w:r>
        <w:t xml:space="preserve"> </w:t>
      </w:r>
      <w:r>
        <w:t xml:space="preserve">the largest peak, since resident-set size understates a run that the OS</w:t>
      </w:r>
      <w:r>
        <w:t xml:space="preserve"> </w:t>
      </w:r>
      <w:r>
        <w:t xml:space="preserve">has partly evicted. Per-run values are in</w:t>
      </w:r>
      <w:r>
        <w:t xml:space="preserve"> </w:t>
      </w:r>
      <w:r>
        <w:rPr>
          <w:rStyle w:val="VerbatimChar"/>
        </w:rPr>
        <w:t xml:space="preserve">results_query_scaling.csv</w:t>
      </w:r>
      <w:r>
        <w:t xml:space="preserve">.</w:t>
      </w:r>
    </w:p>
    <w:bookmarkEnd w:id="61"/>
    <w:bookmarkStart w:id="69" w:name="the-broadfocused-annotation-workflow"/>
    <w:p>
      <w:pPr>
        <w:pStyle w:val="Heading2"/>
      </w:pPr>
      <w:r>
        <w:t xml:space="preserve">The broad→focused annotation workflow</w:t>
      </w:r>
    </w:p>
    <w:p>
      <w:pPr>
        <w:pStyle w:val="FirstParagraph"/>
      </w:pPr>
      <w:r>
        <w:t xml:space="preserve">What actinn-jax is built around is not a single classifier but a</w:t>
      </w:r>
      <w:r>
        <w:t xml:space="preserve"> </w:t>
      </w:r>
      <w:r>
        <w:rPr>
          <w:b/>
          <w:bCs/>
        </w:rPr>
        <w:t xml:space="preserve">two-pass workflow</w:t>
      </w:r>
      <w:r>
        <w:t xml:space="preserve"> </w:t>
      </w:r>
      <w:r>
        <w:t xml:space="preserve">that</w:t>
      </w:r>
      <w:r>
        <w:t xml:space="preserve"> </w:t>
      </w:r>
      <w:r>
        <w:t xml:space="preserve">matches how annotation is actually done: get a broad call fast, then sharpen it where it</w:t>
      </w:r>
      <w:r>
        <w:t xml:space="preserve"> </w:t>
      </w:r>
      <w:r>
        <w:t xml:space="preserve">matters. Because every stage is a cached</w:t>
      </w:r>
      <w:r>
        <w:t xml:space="preserve"> </w:t>
      </w:r>
      <w:r>
        <w:rPr>
          <w:rStyle w:val="VerbatimChar"/>
        </w:rPr>
        <w:t xml:space="preserve">ReferenceModel</w:t>
      </w:r>
      <w:r>
        <w:t xml:space="preserve"> </w:t>
      </w:r>
      <w:r>
        <w:t xml:space="preserve">with sub-second, memory-bounded</w:t>
      </w:r>
      <w:r>
        <w:t xml:space="preserve"> </w:t>
      </w:r>
      <w:r>
        <w:t xml:space="preserve">inference (§3.1, §3.3), the whole workflow runs on a laptop.</w:t>
      </w:r>
    </w:p>
    <w:p>
      <w:pPr>
        <w:pStyle w:val="BodyText"/>
      </w:pPr>
      <w:r>
        <w:drawing>
          <wp:inline>
            <wp:extent cx="5334000" cy="1965681"/>
            <wp:effectExtent b="0" l="0" r="0" t="0"/>
            <wp:docPr descr="the broad pass and the focused pass on one query" title="" id="63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workflow_umap_ondata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656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5.</w:t>
      </w:r>
      <w:r>
        <w:t xml:space="preserve"> </w:t>
      </w:r>
      <w:r>
        <w:t xml:space="preserve">The workflow on a withheld HLiCA liver study (3,396 cells), same embedding</w:t>
      </w:r>
      <w:r>
        <w:t xml:space="preserve"> </w:t>
      </w:r>
      <w:r>
        <w:t xml:space="preserve">throughout.</w:t>
      </w:r>
      <w:r>
        <w:t xml:space="preserve"> </w:t>
      </w:r>
      <w:r>
        <w:rPr>
          <w:i/>
          <w:iCs/>
        </w:rPr>
        <w:t xml:space="preserve">Left:</w:t>
      </w:r>
      <w:r>
        <w:t xml:space="preserve"> </w:t>
      </w:r>
      <w:r>
        <w:t xml:space="preserve">the census reference spreads 144 of its 798 labels over the query</w:t>
      </w:r>
      <w:r>
        <w:t xml:space="preserve"> </w:t>
      </w:r>
      <w:r>
        <w:t xml:space="preserve">(concordance</w:t>
      </w:r>
      <w:r>
        <w:t xml:space="preserve"> </w:t>
      </w:r>
      <w:r>
        <w:rPr>
          <w:b/>
          <w:bCs/>
        </w:rPr>
        <w:t xml:space="preserve">0.34</w:t>
      </w:r>
      <w:r>
        <w:t xml:space="preserve">) — it is not trying to name subtypes.</w:t>
      </w:r>
      <w:r>
        <w:t xml:space="preserve"> </w:t>
      </w:r>
      <w:r>
        <w:rPr>
          <w:i/>
          <w:iCs/>
        </w:rPr>
        <w:t xml:space="preserve">Center:</w:t>
      </w:r>
      <w:r>
        <w:t xml:space="preserve"> </w:t>
      </w:r>
      <w:r>
        <w:t xml:space="preserve">those calls resolved to</w:t>
      </w:r>
      <w:r>
        <w:t xml:space="preserve"> </w:t>
      </w:r>
      <w:r>
        <w:t xml:space="preserve">tissue through the reference’s per-class tissue map;</w:t>
      </w:r>
      <w:r>
        <w:t xml:space="preserve"> </w:t>
      </w:r>
      <w:r>
        <w:rPr>
          <w:b/>
          <w:bCs/>
        </w:rPr>
        <w:t xml:space="preserve">76%</w:t>
      </w:r>
      <w:r>
        <w:t xml:space="preserve"> </w:t>
      </w:r>
      <w:r>
        <w:t xml:space="preserve">of tissue-specific calls say</w:t>
      </w:r>
      <w:r>
        <w:t xml:space="preserve"> </w:t>
      </w:r>
      <w:r>
        <w:t xml:space="preserve">liver against 4% for the next candidate, which is the decision that selects the next</w:t>
      </w:r>
      <w:r>
        <w:t xml:space="preserve"> </w:t>
      </w:r>
      <w:r>
        <w:t xml:space="preserve">reference.</w:t>
      </w:r>
      <w:r>
        <w:t xml:space="preserve"> </w:t>
      </w:r>
      <w:r>
        <w:rPr>
          <w:i/>
          <w:iCs/>
        </w:rPr>
        <w:t xml:space="preserve">Right of center:</w:t>
      </w:r>
      <w:r>
        <w:t xml:space="preserve"> </w:t>
      </w:r>
      <w:r>
        <w:t xml:space="preserve">the 36-type liver reference re-annotates the same cells at</w:t>
      </w:r>
      <w:r>
        <w:t xml:space="preserve"> </w:t>
      </w:r>
      <w:r>
        <w:rPr>
          <w:b/>
          <w:bCs/>
        </w:rPr>
        <w:t xml:space="preserve">0.73</w:t>
      </w:r>
      <w:r>
        <w:t xml:space="preserve">, now tracking the clusters.</w:t>
      </w:r>
      <w:r>
        <w:t xml:space="preserve"> </w:t>
      </w:r>
      <w:r>
        <w:rPr>
          <w:i/>
          <w:iCs/>
        </w:rPr>
        <w:t xml:space="preserve">Right:</w:t>
      </w:r>
      <w:r>
        <w:t xml:space="preserve"> </w:t>
      </w:r>
      <w:r>
        <w:t xml:space="preserve">the study’s own labels on the shared palette.</w:t>
      </w:r>
      <w:r>
        <w:t xml:space="preserve"> </w:t>
      </w:r>
      <w:r>
        <w:t xml:space="preserve">Both models are leakage-free for this query: the focused reference is trained only on the six</w:t>
      </w:r>
      <w:r>
        <w:t xml:space="preserve"> </w:t>
      </w:r>
      <w:r>
        <w:t xml:space="preserve">non-withheld studies. Abstention is off in all panels, so the numbers measure labeling</w:t>
      </w:r>
      <w:r>
        <w:t xml:space="preserve"> </w:t>
      </w:r>
      <w:r>
        <w:t xml:space="preserve">rather than coverage; §3.5 covers abstain separately.</w:t>
      </w:r>
    </w:p>
    <w:p>
      <w:pPr>
        <w:pStyle w:val="BodyText"/>
      </w:pPr>
      <w:r>
        <w:rPr>
          <w:b/>
          <w:bCs/>
        </w:rPr>
        <w:t xml:space="preserve">The broad pass — census-scale.</w:t>
      </w:r>
      <w:r>
        <w:t xml:space="preserve"> </w:t>
      </w:r>
      <w:r>
        <w:t xml:space="preserve">A ~800-type human reference built from the</w:t>
      </w:r>
      <w:r>
        <w:t xml:space="preserve"> </w:t>
      </w:r>
      <w:r>
        <w:t xml:space="preserve">CELLxGENE census gives any query a first-pass annotation across the whole body, with a</w:t>
      </w:r>
      <w:r>
        <w:t xml:space="preserve"> </w:t>
      </w:r>
      <w:r>
        <w:rPr>
          <w:b/>
          <w:bCs/>
        </w:rPr>
        <w:t xml:space="preserve">calibrated abstain threshold</w:t>
      </w:r>
      <w:r>
        <w:t xml:space="preserve"> </w:t>
      </w:r>
      <w:r>
        <w:t xml:space="preserve">so out-of-reference cells are flagged rather than</w:t>
      </w:r>
      <w:r>
        <w:t xml:space="preserve"> </w:t>
      </w:r>
      <w:r>
        <w:t xml:space="preserve">force-labeled (§3.5). This is the orientation</w:t>
      </w:r>
      <w:r>
        <w:t xml:space="preserve"> </w:t>
      </w:r>
      <w:r>
        <w:t xml:space="preserve">pass — broad coverage, deliberately not fine-grained.</w:t>
      </w:r>
    </w:p>
    <w:p>
      <w:pPr>
        <w:pStyle w:val="BodyText"/>
      </w:pPr>
      <w:r>
        <w:rPr>
          <w:b/>
          <w:bCs/>
        </w:rPr>
        <w:t xml:space="preserve">The broad pass can be built from a model instead of from labels.</w:t>
      </w:r>
      <w:r>
        <w:t xml:space="preserve"> </w:t>
      </w:r>
      <w:r>
        <w:t xml:space="preserve">The census route above needs a</w:t>
      </w:r>
      <w:r>
        <w:t xml:space="preserve"> </w:t>
      </w:r>
      <w:r>
        <w:t xml:space="preserve">foundation model on a GPU to discover its hierarchy. A pretrained pan-human annotator</w:t>
      </w:r>
      <w:r>
        <w:t xml:space="preserve"> </w:t>
      </w:r>
      <w:r>
        <w:t xml:space="preserve">already has one — Pan-human Azimuth publishes an 8-level typology with every node mapped to</w:t>
      </w:r>
      <w:r>
        <w:t xml:space="preserve"> </w:t>
      </w:r>
      <w:r>
        <w:t xml:space="preserve">a Cell Ontology term — so labeling a corpus with it and training actinn-jax on those labels</w:t>
      </w:r>
      <w:r>
        <w:t xml:space="preserve"> </w:t>
      </w:r>
      <w:r>
        <w:t xml:space="preserve">transfers both the vocabulary and the structure. That build needs</w:t>
      </w:r>
      <w:r>
        <w:t xml:space="preserve"> </w:t>
      </w:r>
      <w:r>
        <w:rPr>
          <w:b/>
          <w:bCs/>
        </w:rPr>
        <w:t xml:space="preserve">no GPU and no</w:t>
      </w:r>
      <w:r>
        <w:rPr>
          <w:b/>
          <w:bCs/>
        </w:rPr>
        <w:t xml:space="preserve"> </w:t>
      </w:r>
      <w:r>
        <w:rPr>
          <w:b/>
          <w:bCs/>
        </w:rPr>
        <w:t xml:space="preserve">labeled input</w:t>
      </w:r>
      <w:r>
        <w:t xml:space="preserve">, only raw human counts: under ten minutes of CPU on 85k cells drawn from</w:t>
      </w:r>
      <w:r>
        <w:t xml:space="preserve"> </w:t>
      </w:r>
      <w:r>
        <w:t xml:space="preserve">three atlases plus a census-wide sample. On</w:t>
      </w:r>
      <w:r>
        <w:t xml:space="preserve"> </w:t>
      </w:r>
      <w:r>
        <w:t xml:space="preserve">3,396 withheld cross-study liver cells: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483"/>
        <w:gridCol w:w="1046"/>
        <w:gridCol w:w="1046"/>
        <w:gridCol w:w="13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broad-pass 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classes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ontology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cells/s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census-built (</w:t>
            </w:r>
            <w:r>
              <w:rPr>
                <w:rStyle w:val="VerbatimChar"/>
              </w:rPr>
              <w:t xml:space="preserve">broad_human_v1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2,962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Pan-human Azimuth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1,076–1,563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distilled (</w:t>
            </w:r>
            <w:r>
              <w:rPr>
                <w:rStyle w:val="VerbatimChar"/>
                <w:b/>
                <w:bCs/>
              </w:rPr>
              <w:t xml:space="preserve">panhuman_distill_v1</w:t>
            </w:r>
            <w:r>
              <w:rPr>
                <w:b/>
                <w:bCs/>
              </w:rP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8,937–10,021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6.</w:t>
      </w:r>
      <w:r>
        <w:t xml:space="preserve"> </w:t>
      </w:r>
      <w:r>
        <w:t xml:space="preserve">Three broad-pass entry points on 3,396 withheld cross-study liver cells: the</w:t>
      </w:r>
      <w:r>
        <w:t xml:space="preserve"> </w:t>
      </w:r>
      <w:r>
        <w:t xml:space="preserve">census-built reference, the Pan-human Azimuth teacher, and the model distilled from that</w:t>
      </w:r>
      <w:r>
        <w:t xml:space="preserve"> </w:t>
      </w:r>
      <w:r>
        <w:t xml:space="preserve">teacher. All three are scored on identical cells through one script (below), with every call</w:t>
      </w:r>
      <w:r>
        <w:t xml:space="preserve"> </w:t>
      </w:r>
      <w:r>
        <w:t xml:space="preserve">mapped to a Cell Ontology id at prediction time: scoring a cached prediction dump instead</w:t>
      </w:r>
      <w:r>
        <w:t xml:space="preserve"> </w:t>
      </w:r>
      <w:r>
        <w:t xml:space="preserve">leaves 9.5% of Azimuth’s calls unmapped, and an unmapped call scores as wrong, which costs it</w:t>
      </w:r>
      <w:r>
        <w:t xml:space="preserve"> </w:t>
      </w:r>
      <w:r>
        <w:t xml:space="preserve">0.028 concordance it did not lose to the student.</w:t>
      </w:r>
    </w:p>
    <w:p>
      <w:pPr>
        <w:pStyle w:val="BodyText"/>
      </w:pPr>
      <w:r>
        <w:t xml:space="preserve">This makes the entry point as accurate as its teacher and ~6–9× faster, and more accurate</w:t>
      </w:r>
      <w:r>
        <w:t xml:space="preserve"> </w:t>
      </w:r>
      <w:r>
        <w:t xml:space="preserve">than building it from the census directly, and it answers in a harmonized, ontology-mapped vocabulary rather than raw census</w:t>
      </w:r>
      <w:r>
        <w:t xml:space="preserve"> </w:t>
      </w:r>
      <w:r>
        <w:t xml:space="preserve">strings. Withholding a whole atlas from the corpus, the distilled model tracks the one it</w:t>
      </w:r>
      <w:r>
        <w:t xml:space="preserve"> </w:t>
      </w:r>
      <w:r>
        <w:t xml:space="preserve">was distilled from to within</w:t>
      </w:r>
      <w:r>
        <w:t xml:space="preserve"> </w:t>
      </w:r>
      <w:r>
        <w:rPr>
          <w:b/>
          <w:bCs/>
        </w:rPr>
        <w:t xml:space="preserve">1.5 points</w:t>
      </w:r>
      <w:r>
        <w:t xml:space="preserve"> </w:t>
      </w:r>
      <w:r>
        <w:t xml:space="preserve">on lung (0.695 vs 0.710) and</w:t>
      </w:r>
      <w:r>
        <w:t xml:space="preserve"> </w:t>
      </w:r>
      <w:r>
        <w:rPr>
          <w:b/>
          <w:bCs/>
        </w:rPr>
        <w:t xml:space="preserve">3.0</w:t>
      </w:r>
      <w:r>
        <w:t xml:space="preserve"> </w:t>
      </w:r>
      <w:r>
        <w:t xml:space="preserve">on liver</w:t>
      </w:r>
      <w:r>
        <w:t xml:space="preserve"> </w:t>
      </w:r>
      <w:r>
        <w:t xml:space="preserve">(0.481 vs 0.511). Distillation itself therefore costs very little: on data neither model was</w:t>
      </w:r>
      <w:r>
        <w:t xml:space="preserve"> </w:t>
      </w:r>
      <w:r>
        <w:t xml:space="preserve">built for, the student stays within a few points of its teacher. What holds the student back</w:t>
      </w:r>
      <w:r>
        <w:t xml:space="preserve"> </w:t>
      </w:r>
      <w:r>
        <w:t xml:space="preserve">is which tissues and studies its training corpus happened to contain — widening the corpus</w:t>
      </w:r>
      <w:r>
        <w:t xml:space="preserve"> </w:t>
      </w:r>
      <w:r>
        <w:t xml:space="preserve">should move these numbers, changing the distillation procedure should not. Two caveats keep this</w:t>
      </w:r>
      <w:r>
        <w:t xml:space="preserve"> </w:t>
      </w:r>
      <w:r>
        <w:t xml:space="preserve">modest. Student and teacher are level on this query (0.406 against 0.408), and both</w:t>
      </w:r>
      <w:r>
        <w:t xml:space="preserve"> </w:t>
      </w:r>
      <w:r>
        <w:t xml:space="preserve">actinn-jax models draw on a census sample that may include these studies while Pan-human</w:t>
      </w:r>
      <w:r>
        <w:t xml:space="preserve"> </w:t>
      </w:r>
      <w:r>
        <w:t xml:space="preserve">Azimuth does not, so read the distilled model as</w:t>
      </w:r>
      <w:r>
        <w:t xml:space="preserve"> </w:t>
      </w:r>
      <w:r>
        <w:rPr>
          <w:i/>
          <w:iCs/>
        </w:rPr>
        <w:t xml:space="preserve">comparable to</w:t>
      </w:r>
      <w:r>
        <w:t xml:space="preserve"> </w:t>
      </w:r>
      <w:r>
        <w:t xml:space="preserve">the one it distills rather</w:t>
      </w:r>
      <w:r>
        <w:t xml:space="preserve"> </w:t>
      </w:r>
      <w:r>
        <w:t xml:space="preserve">than better. And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inherit</w:t>
      </w:r>
      <w:r>
        <w:t xml:space="preserve"> </w:t>
      </w:r>
      <w:r>
        <w:t xml:space="preserve">that model’s trained abstention: its confidence separates right from wrong poorly (keeping the 90.5% of</w:t>
      </w:r>
      <w:r>
        <w:t xml:space="preserve"> </w:t>
      </w:r>
      <w:r>
        <w:t xml:space="preserve">cells it calls with probability at least 0.5 moves concordance only 0.406 → 0.427), so the calibrated broad-pass abstain</w:t>
      </w:r>
      <w:r>
        <w:t xml:space="preserve"> </w:t>
      </w:r>
      <w:r>
        <w:t xml:space="preserve">of §3.5 belongs to the census-built reference until this one is recalibrated.</w:t>
      </w:r>
    </w:p>
    <w:p>
      <w:pPr>
        <w:pStyle w:val="BodyText"/>
      </w:pPr>
      <w:r>
        <w:rPr>
          <w:b/>
          <w:bCs/>
        </w:rPr>
        <w:t xml:space="preserve">The focused pass — tissue-specific.</w:t>
      </w:r>
      <w:r>
        <w:t xml:space="preserve"> </w:t>
      </w:r>
      <w:r>
        <w:t xml:space="preserve">For the tissue the broad pass identifies, a small</w:t>
      </w:r>
      <w:r>
        <w:t xml:space="preserve"> </w:t>
      </w:r>
      <w:r>
        <w:t xml:space="preserve">focused reference re-annotates at full resolution. Holding out a whole HLiCA</w:t>
      </w:r>
      <w:r>
        <w:t xml:space="preserve"> </w:t>
      </w:r>
      <w:r>
        <w:t xml:space="preserve">study (56,545 cells, a different research center’s protocol), the broad census model scores</w:t>
      </w:r>
      <w:r>
        <w:t xml:space="preserve"> </w:t>
      </w:r>
      <w:r>
        <w:t xml:space="preserve">exact-match</w:t>
      </w:r>
      <w:r>
        <w:t xml:space="preserve"> </w:t>
      </w:r>
      <w:r>
        <w:rPr>
          <w:b/>
          <w:bCs/>
        </w:rPr>
        <w:t xml:space="preserve">0.23</w:t>
      </w:r>
      <w:r>
        <w:t xml:space="preserve"> </w:t>
      </w:r>
      <w:r>
        <w:t xml:space="preserve">/ ontology</w:t>
      </w:r>
      <w:r>
        <w:t xml:space="preserve"> </w:t>
      </w:r>
      <w:r>
        <w:rPr>
          <w:b/>
          <w:bCs/>
        </w:rPr>
        <w:t xml:space="preserve">0.58</w:t>
      </w:r>
      <w:r>
        <w:t xml:space="preserve">, while a focused</w:t>
      </w:r>
      <w:r>
        <w:t xml:space="preserve"> </w:t>
      </w:r>
      <w:r>
        <w:rPr>
          <w:b/>
          <w:bCs/>
        </w:rPr>
        <w:t xml:space="preserve">38-type HLiCA liver</w:t>
      </w:r>
      <w:r>
        <w:t xml:space="preserve"> </w:t>
      </w:r>
      <w:r>
        <w:t xml:space="preserve">reference on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same cells</w:t>
      </w:r>
      <w:r>
        <w:t xml:space="preserve"> </w:t>
      </w:r>
      <w:r>
        <w:t xml:space="preserve">reaches</w:t>
      </w:r>
      <w:r>
        <w:t xml:space="preserve"> </w:t>
      </w:r>
      <w:r>
        <w:rPr>
          <w:b/>
          <w:bCs/>
        </w:rPr>
        <w:t xml:space="preserve">0.72 / 0.86</w:t>
      </w:r>
      <w:r>
        <w:t xml:space="preserve">. Refinement is where fine-grained accuracy comes</w:t>
      </w:r>
      <w:r>
        <w:t xml:space="preserve"> </w:t>
      </w:r>
      <w:r>
        <w:t xml:space="preserve">from; the broad model’s job is to route to it, not to be right about subtypes itself.</w:t>
      </w:r>
    </w:p>
    <w:p>
      <w:pPr>
        <w:pStyle w:val="BodyText"/>
      </w:pPr>
      <w:r>
        <w:rPr>
          <w:b/>
          <w:bCs/>
        </w:rPr>
        <w:t xml:space="preserve">The broad pass hands the query to the focused pass; the two do not combine.</w:t>
      </w:r>
      <w:r>
        <w:t xml:space="preserve"> </w:t>
      </w:r>
      <w:r>
        <w:t xml:space="preserve">The natural</w:t>
      </w:r>
      <w:r>
        <w:t xml:space="preserve"> </w:t>
      </w:r>
      <w:r>
        <w:t xml:space="preserve">assumption is that a better broad call should also make the focused call better. It does not.</w:t>
      </w:r>
      <w:r>
        <w:t xml:space="preserve"> </w:t>
      </w:r>
      <w:r>
        <w:t xml:space="preserve">On the leakage-free cross-study</w:t>
      </w:r>
      <w:r>
        <w:t xml:space="preserve"> </w:t>
      </w:r>
      <w:r>
        <w:t xml:space="preserve">liver split, substituting the stronger</w:t>
      </w:r>
      <w:r>
        <w:t xml:space="preserve"> </w:t>
      </w:r>
      <w:r>
        <w:rPr>
          <w:b/>
          <w:bCs/>
        </w:rPr>
        <w:t xml:space="preserve">Pan-human Azimuth</w:t>
      </w:r>
      <w:r>
        <w:t xml:space="preserve"> </w:t>
      </w:r>
      <w:r>
        <w:t xml:space="preserve">for the broad pass lifts it</w:t>
      </w:r>
      <w:r>
        <w:t xml:space="preserve"> </w:t>
      </w:r>
      <w:r>
        <w:t xml:space="preserve">(ontology 0.408 vs 0.338 for our own broad model) but changes nothing downstream. Using that</w:t>
      </w:r>
      <w:r>
        <w:t xml:space="preserve"> </w:t>
      </w:r>
      <w:r>
        <w:t xml:space="preserve">broad call to</w:t>
      </w:r>
      <w:r>
        <w:t xml:space="preserve"> </w:t>
      </w:r>
      <w:r>
        <w:rPr>
          <w:i/>
          <w:iCs/>
        </w:rPr>
        <w:t xml:space="preserve">narrow</w:t>
      </w:r>
      <w:r>
        <w:t xml:space="preserve"> </w:t>
      </w:r>
      <w:r>
        <w:t xml:space="preserve">the focused pass’s classes — the zero-retrain masking actinn-jax provides — makes</w:t>
      </w:r>
      <w:r>
        <w:t xml:space="preserve"> </w:t>
      </w:r>
      <w:r>
        <w:t xml:space="preserve">the result</w:t>
      </w:r>
      <w:r>
        <w:t xml:space="preserve"> </w:t>
      </w:r>
      <w:r>
        <w:rPr>
          <w:b/>
          <w:bCs/>
        </w:rPr>
        <w:t xml:space="preserve">worse</w:t>
      </w:r>
      <w:r>
        <w:t xml:space="preserve">, 0.731 → 0.708: the broad call matches the true lineage on 85.8%</w:t>
      </w:r>
      <w:r>
        <w:t xml:space="preserve"> </w:t>
      </w:r>
      <w:r>
        <w:t xml:space="preserve">of cells, and the 14% it misses cost more than the 86% it gets right can gain, since a wrong</w:t>
      </w:r>
      <w:r>
        <w:t xml:space="preserve"> </w:t>
      </w:r>
      <w:r>
        <w:t xml:space="preserve">mask discards the correct class outright. A</w:t>
      </w:r>
      <w:r>
        <w:t xml:space="preserve"> </w:t>
      </w:r>
      <w:r>
        <w:rPr>
          <w:b/>
          <w:bCs/>
        </w:rPr>
        <w:t xml:space="preserve">perfect</w:t>
      </w:r>
      <w:r>
        <w:t xml:space="preserve"> </w:t>
      </w:r>
      <w:r>
        <w:t xml:space="preserve">broad call would add only</w:t>
      </w:r>
      <w:r>
        <w:t xml:space="preserve"> </w:t>
      </w:r>
      <w:r>
        <w:rPr>
          <w:b/>
          <w:bCs/>
        </w:rPr>
        <w:t xml:space="preserve">+2.8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(0.759). Once the focused pass covers the tissue, there is almost no accuracy left for a broad</w:t>
      </w:r>
      <w:r>
        <w:t xml:space="preserve"> </w:t>
      </w:r>
      <w:r>
        <w:t xml:space="preserve">model to contribute; its value is choosing which focused reference to load, and catching cells</w:t>
      </w:r>
      <w:r>
        <w:t xml:space="preserve"> </w:t>
      </w:r>
      <w:r>
        <w:t xml:space="preserve">that fall outside every focused reference’s scope.</w:t>
      </w:r>
    </w:p>
    <w:p>
      <w:pPr>
        <w:pStyle w:val="BodyText"/>
      </w:pPr>
      <w:r>
        <w:rPr>
          <w:b/>
          <w:bCs/>
        </w:rPr>
        <w:t xml:space="preserve">Can a broad reference be built for an organism with no pretrained annotator?</w:t>
      </w:r>
      <w:r>
        <w:t xml:space="preserve"> </w:t>
      </w:r>
      <w:r>
        <w:t xml:space="preserve">For mouse,</w:t>
      </w:r>
      <w:r>
        <w:t xml:space="preserve"> </w:t>
      </w:r>
      <w:r>
        <w:t xml:space="preserve">neither human route carries over intact, but for different reasons. Distillation needs a</w:t>
      </w:r>
      <w:r>
        <w:t xml:space="preserve"> </w:t>
      </w:r>
      <w:r>
        <w:t xml:space="preserve">teacher, and Pan-human Azimuth is human-only — there is no mouse model to distill. The census</w:t>
      </w:r>
      <w:r>
        <w:t xml:space="preserve"> </w:t>
      </w:r>
      <w:r>
        <w:t xml:space="preserve">route does apply to mouse, but its one expensive step does not travel cheaply: the coarse</w:t>
      </w:r>
      <w:r>
        <w:t xml:space="preserve"> </w:t>
      </w:r>
      <w:r>
        <w:t xml:space="preserve">groups are found by Ward-clustering scPRINT embeddings of per-type expression centroids, which</w:t>
      </w:r>
      <w:r>
        <w:t xml:space="preserve"> </w:t>
      </w:r>
      <w:r>
        <w:t xml:space="preserve">wants a GPU, and scPRINT’s mouse support is untested here.</w:t>
      </w:r>
    </w:p>
    <w:p>
      <w:pPr>
        <w:pStyle w:val="BodyText"/>
      </w:pPr>
      <w:r>
        <w:t xml:space="preserve">That clustering step is the only one that has to be replaced (Figure 6A). The census already</w:t>
      </w:r>
      <w:r>
        <w:t xml:space="preserve"> </w:t>
      </w:r>
      <w:r>
        <w:t xml:space="preserve">labels every cell with a Cell Ontology term, and CL encodes the relation the embedding</w:t>
      </w:r>
      <w:r>
        <w:t xml:space="preserve"> </w:t>
      </w:r>
      <w:r>
        <w:t xml:space="preserve">clustering is recovering — which cell types are kinds of the same thing. Describing each type</w:t>
      </w:r>
      <w:r>
        <w:t xml:space="preserve"> </w:t>
      </w:r>
      <w:r>
        <w:t xml:space="preserve">by the CL terms it descends from and clustering</w:t>
      </w:r>
      <w:r>
        <w:t xml:space="preserve"> </w:t>
      </w:r>
      <w:r>
        <w:rPr>
          <w:i/>
          <w:iCs/>
        </w:rPr>
        <w:t xml:space="preserve">those</w:t>
      </w:r>
      <w:r>
        <w:t xml:space="preserve">, with the same Ward linkage, gives a</w:t>
      </w:r>
      <w:r>
        <w:t xml:space="preserve"> </w:t>
      </w:r>
      <w:r>
        <w:t xml:space="preserve">hierarchy that is free, deterministic and species-independent.</w:t>
      </w:r>
    </w:p>
    <w:p>
      <w:pPr>
        <w:pStyle w:val="BodyText"/>
      </w:pPr>
      <w:r>
        <w:drawing>
          <wp:inline>
            <wp:extent cx="5334000" cy="3459955"/>
            <wp:effectExtent b="0" l="0" r="0" t="0"/>
            <wp:docPr descr="building a coarse hierarchy without a GPU" title="" id="66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ontology_hierarchy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599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6.</w:t>
      </w:r>
      <w:r>
        <w:t xml:space="preserve"> </w:t>
      </w:r>
      <w:r>
        <w:t xml:space="preserve">Replacing the one step of the reference build that needs a GPU.</w:t>
      </w:r>
      <w:r>
        <w:t xml:space="preserve"> </w:t>
      </w:r>
      <w:r>
        <w:rPr>
          <w:i/>
          <w:iCs/>
        </w:rPr>
        <w:t xml:space="preserve">A:</w:t>
      </w:r>
      <w:r>
        <w:t xml:space="preserve"> </w:t>
      </w:r>
      <w:r>
        <w:t xml:space="preserve">both routes</w:t>
      </w:r>
      <w:r>
        <w:t xml:space="preserve"> </w:t>
      </w:r>
      <w:r>
        <w:t xml:space="preserve">to the coarse groups; only the middle step differs.</w:t>
      </w:r>
      <w:r>
        <w:t xml:space="preserve"> </w:t>
      </w:r>
      <w:r>
        <w:rPr>
          <w:i/>
          <w:iCs/>
        </w:rPr>
        <w:t xml:space="preserve">B:</w:t>
      </w:r>
      <w:r>
        <w:t xml:space="preserve"> </w:t>
      </w:r>
      <w:r>
        <w:t xml:space="preserve">the 21 coarse groups of</w:t>
      </w:r>
      <w:r>
        <w:t xml:space="preserve"> </w:t>
      </w:r>
      <w:r>
        <w:rPr>
          <w:rStyle w:val="VerbatimChar"/>
        </w:rPr>
        <w:t xml:space="preserve">broad_mouse_v1</w:t>
      </w:r>
      <w:r>
        <w:t xml:space="preserve">, each named by the Cell Ontology term its members share, with a percentage</w:t>
      </w:r>
      <w:r>
        <w:t xml:space="preserve"> </w:t>
      </w:r>
      <w:r>
        <w:t xml:space="preserve">where that term covers most but not all of the group; the gray bar is the single group whose</w:t>
      </w:r>
      <w:r>
        <w:t xml:space="preserve"> </w:t>
      </w:r>
      <w:r>
        <w:t xml:space="preserve">members share no term below the generic ones.</w:t>
      </w:r>
      <w:r>
        <w:t xml:space="preserve"> </w:t>
      </w:r>
      <w:r>
        <w:rPr>
          <w:i/>
          <w:iCs/>
        </w:rPr>
        <w:t xml:space="preserve">C:</w:t>
      </w:r>
      <w:r>
        <w:t xml:space="preserve"> </w:t>
      </w:r>
      <w:r>
        <w:t xml:space="preserve">the ontology grouping against no hierarchy and</w:t>
      </w:r>
      <w:r>
        <w:t xml:space="preserve"> </w:t>
      </w:r>
      <w:r>
        <w:t xml:space="preserve">against a random grouping with the same group sizes, scored by ontology concordance on the</w:t>
      </w:r>
      <w:r>
        <w:t xml:space="preserve"> </w:t>
      </w:r>
      <w:r>
        <w:t xml:space="preserve">held-out human lung atlas. Bars start at zero and error bars are 95% binomial intervals on the</w:t>
      </w:r>
      <w:r>
        <w:t xml:space="preserve"> </w:t>
      </w:r>
      <w:r>
        <w:t xml:space="preserve">2,161 scored cells; the gain over no hierarchy clears that interval and the gap between the two</w:t>
      </w:r>
      <w:r>
        <w:t xml:space="preserve"> </w:t>
      </w:r>
      <w:r>
        <w:t xml:space="preserve">controls does not.</w:t>
      </w:r>
    </w:p>
    <w:p>
      <w:pPr>
        <w:pStyle w:val="BodyText"/>
      </w:pPr>
      <w:r>
        <w:rPr>
          <w:b/>
          <w:bCs/>
        </w:rPr>
        <w:t xml:space="preserve">The groups it produces are lineages.</w:t>
      </w:r>
      <w:r>
        <w:t xml:space="preserve"> </w:t>
      </w:r>
      <w:r>
        <w:t xml:space="preserve">Twenty of the 21 mouse groups resolve to one CL</w:t>
      </w:r>
      <w:r>
        <w:t xml:space="preserve"> </w:t>
      </w:r>
      <w:r>
        <w:t xml:space="preserve">lineage each — lymphocytes, neurons, epithelium, endothelium, mononuclear phagocytes, kidney</w:t>
      </w:r>
      <w:r>
        <w:t xml:space="preserve"> </w:t>
      </w:r>
      <w:r>
        <w:t xml:space="preserve">tubule — and the twenty-first is a catch-all of 48 types whose census labels (</w:t>
      </w:r>
      <w:r>
        <w:rPr>
          <w:rStyle w:val="VerbatimChar"/>
        </w:rPr>
        <w:t xml:space="preserve">cell</w:t>
      </w:r>
      <w:r>
        <w:t xml:space="preserve">,</w:t>
      </w:r>
      <w:r>
        <w:t xml:space="preserve"> </w:t>
      </w:r>
      <w:r>
        <w:rPr>
          <w:rStyle w:val="VerbatimChar"/>
        </w:rPr>
        <w:t xml:space="preserve">blood cell</w:t>
      </w:r>
      <w:r>
        <w:t xml:space="preserve">) are too vague to place anywhere (Figure 6B).</w:t>
      </w:r>
    </w:p>
    <w:p>
      <w:pPr>
        <w:pStyle w:val="BodyText"/>
      </w:pPr>
      <w:r>
        <w:rPr>
          <w:b/>
          <w:bCs/>
        </w:rPr>
        <w:t xml:space="preserve">The grouping is doing the work, not the splitting.</w:t>
      </w:r>
      <w:r>
        <w:t xml:space="preserve"> </w:t>
      </w:r>
      <w:r>
        <w:t xml:space="preserve">Any partition gives each fine</w:t>
      </w:r>
      <w:r>
        <w:t xml:space="preserve"> </w:t>
      </w:r>
      <w:r>
        <w:t xml:space="preserve">classifier a smaller problem, so the substitution needs a control. Built from one human corpus</w:t>
      </w:r>
      <w:r>
        <w:t xml:space="preserve"> </w:t>
      </w:r>
      <w:r>
        <w:t xml:space="preserve">(51,346 cells / 867 types) and scored on the held-out lung atlas, the ontology grouping reaches</w:t>
      </w:r>
      <w:r>
        <w:t xml:space="preserve"> </w:t>
      </w:r>
      <w:r>
        <w:rPr>
          <w:b/>
          <w:bCs/>
        </w:rPr>
        <w:t xml:space="preserve">0.616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0.547</w:t>
      </w:r>
      <w:r>
        <w:t xml:space="preserve"> </w:t>
      </w:r>
      <w:r>
        <w:t xml:space="preserve">for no hierarchy at all — a gain of</w:t>
      </w:r>
      <w:r>
        <w:t xml:space="preserve"> </w:t>
      </w:r>
      <w:r>
        <w:rPr>
          <w:b/>
          <w:bCs/>
        </w:rPr>
        <w:t xml:space="preserve">0.069</w:t>
      </w:r>
      <w:r>
        <w:t xml:space="preserve">, or 13% relative,</w:t>
      </w:r>
      <w:r>
        <w:t xml:space="preserve"> </w:t>
      </w:r>
      <w:r>
        <w:t xml:space="preserve">which on 2,161 scored cells sits outside the 95% interval of ±0.029. A random grouping with the</w:t>
      </w:r>
      <w:r>
        <w:t xml:space="preserve"> </w:t>
      </w:r>
      <w:r>
        <w:t xml:space="preserve">same group sizes scores</w:t>
      </w:r>
      <w:r>
        <w:t xml:space="preserve"> </w:t>
      </w:r>
      <w:r>
        <w:rPr>
          <w:b/>
          <w:bCs/>
        </w:rPr>
        <w:t xml:space="preserve">0.539</w:t>
      </w:r>
      <w:r>
        <w:t xml:space="preserve">, which is 0.008 from the no-hierarchy control and inside that</w:t>
      </w:r>
      <w:r>
        <w:t xml:space="preserve"> </w:t>
      </w:r>
      <w:r>
        <w:t xml:space="preserve">interval (Figure 6C). What matters is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types share</w:t>
      </w:r>
      <w:r>
        <w:t xml:space="preserve"> </w:t>
      </w:r>
      <w:r>
        <w:t xml:space="preserve">a group. Each group has its own fine classifier and the coarse call decides which one ever</w:t>
      </w:r>
      <w:r>
        <w:t xml:space="preserve"> </w:t>
      </w:r>
      <w:r>
        <w:t xml:space="preserve">sees the cell, so a group pays off only if the coarse classifier can recognize the group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right answer is inside it. Lineage groups manage both; same-sized random groups manage</w:t>
      </w:r>
      <w:r>
        <w:t xml:space="preserve"> </w:t>
      </w:r>
      <w:r>
        <w:t xml:space="preserve">neither.</w:t>
      </w:r>
    </w:p>
    <w:p>
      <w:pPr>
        <w:pStyle w:val="BodyText"/>
      </w:pPr>
      <w:r>
        <w:t xml:space="preserve">On that basis,</w:t>
      </w:r>
      <w:r>
        <w:t xml:space="preserve"> </w:t>
      </w:r>
      <w:r>
        <w:rPr>
          <w:rStyle w:val="VerbatimChar"/>
        </w:rPr>
        <w:t xml:space="preserve">broad_mouse_v1</w:t>
      </w:r>
      <w:r>
        <w:t xml:space="preserve">: 27,026 cells →</w:t>
      </w:r>
      <w:r>
        <w:t xml:space="preserve"> </w:t>
      </w:r>
      <w:r>
        <w:rPr>
          <w:b/>
          <w:bCs/>
        </w:rPr>
        <w:t xml:space="preserve">453 cell types across 85 tissues</w:t>
      </w:r>
      <w:r>
        <w:t xml:space="preserve">,</w:t>
      </w:r>
      <w:r>
        <w:t xml:space="preserve"> </w:t>
      </w:r>
      <w:r>
        <w:t xml:space="preserve">305 CL terms collapsed to 21 coarse groups,</w:t>
      </w:r>
      <w:r>
        <w:t xml:space="preserve"> </w:t>
      </w:r>
      <w:r>
        <w:rPr>
          <w:b/>
          <w:bCs/>
        </w:rPr>
        <w:t xml:space="preserve">17 seconds of CPU</w:t>
      </w:r>
      <w:r>
        <w:t xml:space="preserve"> </w:t>
      </w:r>
      <w:r>
        <w:t xml:space="preserve">to train, 38 MB. Two mouse</w:t>
      </w:r>
      <w:r>
        <w:t xml:space="preserve"> </w:t>
      </w:r>
      <w:r>
        <w:t xml:space="preserve">datasets were excluded from the reference entirely and used as the test set — 12,646 cells,</w:t>
      </w:r>
      <w:r>
        <w:t xml:space="preserve"> </w:t>
      </w:r>
      <w:r>
        <w:t xml:space="preserve">137 truth types, 41 tissues, none of it seen in training: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ontology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cells/s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cells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9,712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confidence ≥ 0.5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71%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Table 7.</w:t>
      </w:r>
      <w:r>
        <w:t xml:space="preserve"> </w:t>
      </w:r>
      <w:r>
        <w:rPr>
          <w:rStyle w:val="VerbatimChar"/>
        </w:rPr>
        <w:t xml:space="preserve">broad_mouse_v1</w:t>
      </w:r>
      <w:r>
        <w:t xml:space="preserve"> </w:t>
      </w:r>
      <w:r>
        <w:t xml:space="preserve">on 12,646 held-out mouse cells (137 truth types, 41 tissues, none</w:t>
      </w:r>
      <w:r>
        <w:t xml:space="preserve"> </w:t>
      </w:r>
      <w:r>
        <w:t xml:space="preserve">of it in the reference), with and without abstain.</w:t>
      </w:r>
    </w:p>
    <w:p>
      <w:pPr>
        <w:pStyle w:val="BodyText"/>
      </w:pPr>
      <w:r>
        <w:t xml:space="preserve">Its abstain calibration is also better behaved than the human census model’s: at the same</w:t>
      </w:r>
      <w:r>
        <w:t xml:space="preserve"> </w:t>
      </w:r>
      <w:r>
        <w:rPr>
          <w:rStyle w:val="VerbatimChar"/>
        </w:rPr>
        <w:t xml:space="preserve">p ≥ 0.5</w:t>
      </w:r>
      <w:r>
        <w:t xml:space="preserve"> </w:t>
      </w:r>
      <w:r>
        <w:t xml:space="preserve">threshold it still answers for</w:t>
      </w:r>
      <w:r>
        <w:t xml:space="preserve"> </w:t>
      </w:r>
      <w:r>
        <w:rPr>
          <w:b/>
          <w:bCs/>
        </w:rPr>
        <w:t xml:space="preserve">71%</w:t>
      </w:r>
      <w:r>
        <w:t xml:space="preserve"> </w:t>
      </w:r>
      <w:r>
        <w:t xml:space="preserve">of cells (Table 7), against</w:t>
      </w:r>
      <w:r>
        <w:t xml:space="preserve"> </w:t>
      </w:r>
      <w:r>
        <w:rPr>
          <w:b/>
          <w:bCs/>
        </w:rPr>
        <w:t xml:space="preserve">38%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broad_human_v1</w:t>
      </w:r>
      <w:r>
        <w:t xml:space="preserve"> </w:t>
      </w:r>
      <w:r>
        <w:t xml:space="preserve">on its own held-out atlas, because mouse census carries fewer near-duplicate</w:t>
      </w:r>
      <w:r>
        <w:t xml:space="preserve"> </w:t>
      </w:r>
      <w:r>
        <w:t xml:space="preserve">subtypes than human’s ~800-way vocabulary. Coverage at a fixed threshold is the part that</w:t>
      </w:r>
      <w:r>
        <w:t xml:space="preserve"> </w:t>
      </w:r>
      <w:r>
        <w:t xml:space="preserve">compares across the two — the accuracies come from different queries and should not be read</w:t>
      </w:r>
      <w:r>
        <w:t xml:space="preserve"> </w:t>
      </w:r>
      <w:r>
        <w:t xml:space="preserve">head-to-head. Two limits apply. The ablation above was run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human</w:t>
      </w:r>
      <w:r>
        <w:t xml:space="preserve"> </w:t>
      </w:r>
      <w:r>
        <w:t xml:space="preserve">and applied to mouse; CL is species-neutral by construction, but nothing here</w:t>
      </w:r>
      <w:r>
        <w:t xml:space="preserve"> </w:t>
      </w:r>
      <w:r>
        <w:t xml:space="preserve">shows it groups mouse types as well. And mouse census is shallow in</w:t>
      </w:r>
      <w:r>
        <w:t xml:space="preserve"> </w:t>
      </w:r>
      <w:r>
        <w:rPr>
          <w:i/>
          <w:iCs/>
        </w:rPr>
        <w:t xml:space="preserve">datasets</w:t>
      </w:r>
      <w:r>
        <w:t xml:space="preserve"> </w:t>
      </w:r>
      <w:r>
        <w:t xml:space="preserve">— 51 in total,</w:t>
      </w:r>
      <w:r>
        <w:t xml:space="preserve"> </w:t>
      </w:r>
      <w:r>
        <w:t xml:space="preserve">one embryo atlas holding 11.4M of 18.4M cells — so tissue breadth is good while lab and</w:t>
      </w:r>
      <w:r>
        <w:t xml:space="preserve"> </w:t>
      </w:r>
      <w:r>
        <w:t xml:space="preserve">protocol breadth is far below human’s 487 datasets.</w:t>
      </w:r>
    </w:p>
    <w:p>
      <w:pPr>
        <w:pStyle w:val="BodyText"/>
      </w:pPr>
      <w:r>
        <w:rPr>
          <w:b/>
          <w:bCs/>
        </w:rPr>
        <w:t xml:space="preserve">Supporting mechanisms.</w:t>
      </w:r>
      <w:r>
        <w:t xml:space="preserve"> </w:t>
      </w:r>
      <w:r>
        <w:t xml:space="preserve">(i) The</w:t>
      </w:r>
      <w:r>
        <w:t xml:space="preserve"> </w:t>
      </w:r>
      <w:r>
        <w:rPr>
          <w:b/>
          <w:bCs/>
        </w:rPr>
        <w:t xml:space="preserve">embedding route to the same hierarchy</w:t>
      </w:r>
      <w:r>
        <w:t xml:space="preserve">, evaluated</w:t>
      </w:r>
      <w:r>
        <w:t xml:space="preserve"> </w:t>
      </w:r>
      <w:r>
        <w:t xml:space="preserve">separately from the ontology route above: a foundation model discovers the coarse→fine</w:t>
      </w:r>
      <w:r>
        <w:t xml:space="preserve"> </w:t>
      </w:r>
      <w:r>
        <w:t xml:space="preserve">structure</w:t>
      </w:r>
      <w:r>
        <w:t xml:space="preserve"> </w:t>
      </w:r>
      <w:r>
        <w:rPr>
          <w:i/>
          <w:iCs/>
        </w:rPr>
        <w:t xml:space="preserve">offline</w:t>
      </w:r>
      <w:r>
        <w:t xml:space="preserve"> </w:t>
      </w:r>
      <w:r>
        <w:t xml:space="preserve">and the CPU model uses it at inference. It beats a flat classifier on</w:t>
      </w:r>
      <w:r>
        <w:t xml:space="preserve"> </w:t>
      </w:r>
      <w:r>
        <w:t xml:space="preserve">three of four datasets, matches a hand-built expert hierarchy, and beats a random-grouping</w:t>
      </w:r>
      <w:r>
        <w:t xml:space="preserve"> </w:t>
      </w:r>
      <w:r>
        <w:t xml:space="preserve">control, while never calling the foundation model at prediction time. (ii)</w:t>
      </w:r>
      <w:r>
        <w:t xml:space="preserve"> </w:t>
      </w:r>
      <w:r>
        <w:rPr>
          <w:b/>
          <w:bCs/>
        </w:rPr>
        <w:t xml:space="preserve">Within-cell-type</w:t>
      </w:r>
      <w:r>
        <w:rPr>
          <w:b/>
          <w:bCs/>
        </w:rPr>
        <w:t xml:space="preserve"> </w:t>
      </w:r>
      <w:r>
        <w:rPr>
          <w:b/>
          <w:bCs/>
        </w:rPr>
        <w:t xml:space="preserve">resolution</w:t>
      </w:r>
      <w:r>
        <w:t xml:space="preserve">: the same machinery resolves hepatocyte zonation (portal→central) at 0.99</w:t>
      </w:r>
      <w:r>
        <w:t xml:space="preserve"> </w:t>
      </w:r>
      <w:r>
        <w:t xml:space="preserve">within-one-zone across held-out donors, and 0.88–0.92 transferring between datasets — a</w:t>
      </w:r>
      <w:r>
        <w:t xml:space="preserve"> </w:t>
      </w:r>
      <w:r>
        <w:t xml:space="preserve">third stage below the cell-type label. Together these make actinn-jax a</w:t>
      </w:r>
      <w:r>
        <w:t xml:space="preserve"> </w:t>
      </w:r>
      <w:r>
        <w:rPr>
          <w:i/>
          <w:iCs/>
        </w:rPr>
        <w:t xml:space="preserve">pipeline</w:t>
      </w:r>
      <w:r>
        <w:t xml:space="preserve"> </w:t>
      </w:r>
      <w:r>
        <w:t xml:space="preserve">(broad →</w:t>
      </w:r>
      <w:r>
        <w:t xml:space="preserve"> </w:t>
      </w:r>
      <w:r>
        <w:t xml:space="preserve">tissue → subtype/state), not just a classifier, at classical-method speed throughout.</w:t>
      </w:r>
    </w:p>
    <w:p>
      <w:pPr>
        <w:pStyle w:val="BodyText"/>
      </w:pPr>
      <w:r>
        <w:rPr>
          <w:b/>
          <w:bCs/>
        </w:rPr>
        <w:t xml:space="preserve">Running all three: where independent references agree.</w:t>
      </w:r>
      <w:r>
        <w:t xml:space="preserve"> </w:t>
      </w:r>
      <w:r>
        <w:t xml:space="preserve">The three entry points are</w:t>
      </w:r>
      <w:r>
        <w:t xml:space="preserve"> </w:t>
      </w:r>
      <w:r>
        <w:t xml:space="preserve">interchangeable, so we ran all of them over the same query. They answer in three different</w:t>
      </w:r>
      <w:r>
        <w:t xml:space="preserve"> </w:t>
      </w:r>
      <w:r>
        <w:t xml:space="preserve">vocabularies (798, 382 and 324 classes), so agreement is defined in the Cell Ontology where all</w:t>
      </w:r>
      <w:r>
        <w:t xml:space="preserve"> </w:t>
      </w:r>
      <w:r>
        <w:t xml:space="preserve">three map: two</w:t>
      </w:r>
      <w:r>
        <w:t xml:space="preserve"> </w:t>
      </w:r>
      <w:r>
        <w:t xml:space="preserve">calls agree when they are the same term or one is an ancestor of the other, the relation the</w:t>
      </w:r>
      <w:r>
        <w:t xml:space="preserve"> </w:t>
      </w:r>
      <w:r>
        <w:t xml:space="preserve">concordance metric already uses. Partitioning by how many of the three mutually agree, on the</w:t>
      </w:r>
      <w:r>
        <w:t xml:space="preserve"> </w:t>
      </w:r>
      <w:r>
        <w:t xml:space="preserve">withheld cross-study liver query and on the 65,662-cell Krasnow lung atlas: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tissue</w:t>
            </w:r>
          </w:p>
        </w:tc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census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distilled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Azimuth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</w:t>
            </w:r>
          </w:p>
        </w:tc>
        <w:tc>
          <w:tcPr/>
          <w:p>
            <w:pPr>
              <w:pStyle w:val="Compact"/>
            </w:pPr>
            <w:r>
              <w:t xml:space="preserve">all three agree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</w:t>
            </w:r>
          </w:p>
        </w:tc>
        <w:tc>
          <w:tcPr/>
          <w:p>
            <w:pPr>
              <w:pStyle w:val="Compact"/>
            </w:pPr>
            <w:r>
              <w:t xml:space="preserve">two agree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</w:t>
            </w:r>
          </w:p>
        </w:tc>
        <w:tc>
          <w:tcPr/>
          <w:p>
            <w:pPr>
              <w:pStyle w:val="Compact"/>
            </w:pPr>
            <w:r>
              <w:t xml:space="preserve">none agree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whole query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0.338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0.406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0.408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</w:t>
            </w:r>
          </w:p>
        </w:tc>
        <w:tc>
          <w:tcPr/>
          <w:p>
            <w:pPr>
              <w:pStyle w:val="Compact"/>
            </w:pPr>
            <w:r>
              <w:t xml:space="preserve">all three agree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</w:t>
            </w:r>
          </w:p>
        </w:tc>
        <w:tc>
          <w:tcPr/>
          <w:p>
            <w:pPr>
              <w:pStyle w:val="Compact"/>
            </w:pPr>
            <w:r>
              <w:t xml:space="preserve">two agree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</w:t>
            </w:r>
          </w:p>
        </w:tc>
        <w:tc>
          <w:tcPr/>
          <w:p>
            <w:pPr>
              <w:pStyle w:val="Compact"/>
            </w:pPr>
            <w:r>
              <w:t xml:space="preserve">none agree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whole query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0.524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0.830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0.831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brain</w:t>
            </w:r>
          </w:p>
        </w:tc>
        <w:tc>
          <w:tcPr/>
          <w:p>
            <w:pPr>
              <w:pStyle w:val="Compact"/>
            </w:pPr>
            <w:r>
              <w:t xml:space="preserve">all three agree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brain</w:t>
            </w:r>
          </w:p>
        </w:tc>
        <w:tc>
          <w:tcPr/>
          <w:p>
            <w:pPr>
              <w:pStyle w:val="Compact"/>
            </w:pPr>
            <w:r>
              <w:t xml:space="preserve">two agree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brain</w:t>
            </w:r>
          </w:p>
        </w:tc>
        <w:tc>
          <w:tcPr/>
          <w:p>
            <w:pPr>
              <w:pStyle w:val="Compact"/>
            </w:pPr>
            <w:r>
              <w:t xml:space="preserve">none agree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brain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whole query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0.792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0.981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0.987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8.</w:t>
      </w:r>
      <w:r>
        <w:t xml:space="preserve"> </w:t>
      </w:r>
      <w:r>
        <w:t xml:space="preserve">Ontology concordance within each agreement tier, three broad references on</w:t>
      </w:r>
      <w:r>
        <w:t xml:space="preserve"> </w:t>
      </w:r>
      <w:r>
        <w:t xml:space="preserve">identical cells, in three tissues: withheld cross-study liver (3,396 cells, 34 truth types),</w:t>
      </w:r>
      <w:r>
        <w:t xml:space="preserve"> </w:t>
      </w:r>
      <w:r>
        <w:t xml:space="preserve">the Krasnow lung atlas (65,662, 46) and the Allen human middle temporal gyrus (156,285, 18).</w:t>
      </w:r>
    </w:p>
    <w:p>
      <w:pPr>
        <w:pStyle w:val="BodyText"/>
      </w:pPr>
      <w:r>
        <w:t xml:space="preserve">One thing replicates in all three tissues: cells the references disagree about are annotated</w:t>
      </w:r>
      <w:r>
        <w:t xml:space="preserve"> </w:t>
      </w:r>
      <w:r>
        <w:t xml:space="preserve">far less reliably than cells they concur on, for every reference. The census model spans 0.690</w:t>
      </w:r>
      <w:r>
        <w:t xml:space="preserve"> </w:t>
      </w:r>
      <w:r>
        <w:t xml:space="preserve">to 0.212 across the liver partition, 0.934 to 0.059 across lung and 0.839 to 0.117 across</w:t>
      </w:r>
      <w:r>
        <w:t xml:space="preserve"> </w:t>
      </w:r>
      <w:r>
        <w:t xml:space="preserve">brain, with the same direction for the other two. That all three improve</w:t>
      </w:r>
      <w:r>
        <w:t xml:space="preserve"> </w:t>
      </w:r>
      <w:r>
        <w:rPr>
          <w:i/>
          <w:iCs/>
        </w:rPr>
        <w:t xml:space="preserve">together</w:t>
      </w:r>
      <w:r>
        <w:t xml:space="preserve"> </w:t>
      </w:r>
      <w:r>
        <w:t xml:space="preserve">is what</w:t>
      </w:r>
      <w:r>
        <w:t xml:space="preserve"> </w:t>
      </w:r>
      <w:r>
        <w:t xml:space="preserve">makes the partition useful — agreement selects cells that are unambiguous rather than cells one</w:t>
      </w:r>
      <w:r>
        <w:t xml:space="preserve"> </w:t>
      </w:r>
      <w:r>
        <w:t xml:space="preserve">model happens to get right — and unlike accuracy it can be computed on a query whose answers</w:t>
      </w:r>
      <w:r>
        <w:t xml:space="preserve"> </w:t>
      </w:r>
      <w:r>
        <w:t xml:space="preserve">are unknown, for the price of three sub-second calls.</w:t>
      </w:r>
    </w:p>
    <w:p>
      <w:pPr>
        <w:pStyle w:val="BodyText"/>
      </w:pPr>
      <w:r>
        <w:t xml:space="preserve">What does not replicate is how much of a query the agreeing set covers: 23% on liver, 48% on</w:t>
      </w:r>
      <w:r>
        <w:t xml:space="preserve"> </w:t>
      </w:r>
      <w:r>
        <w:t xml:space="preserve">lung, 94% on brain. Brain explains the spread rather than extending it. That query’s Cell</w:t>
      </w:r>
      <w:r>
        <w:t xml:space="preserve"> </w:t>
      </w:r>
      <w:r>
        <w:t xml:space="preserve">Ontology annotation uses</w:t>
      </w:r>
      <w:r>
        <w:t xml:space="preserve"> </w:t>
      </w:r>
      <w:r>
        <w:rPr>
          <w:b/>
          <w:bCs/>
        </w:rPr>
        <w:t xml:space="preserve">18 terms for a region whose own taxonomy,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CCN201908210</w:t>
      </w:r>
      <w:r>
        <w:rPr>
          <w:b/>
          <w:bCs/>
        </w:rPr>
        <w:t xml:space="preserve">, defines</w:t>
      </w:r>
      <w:r>
        <w:rPr>
          <w:b/>
          <w:bCs/>
        </w:rPr>
        <w:t xml:space="preserve"> </w:t>
      </w:r>
      <w:r>
        <w:rPr>
          <w:b/>
          <w:bCs/>
        </w:rPr>
        <w:t xml:space="preserve">154 cell sets</w:t>
      </w:r>
      <w:r>
        <w:t xml:space="preserve"> </w:t>
      </w:r>
      <w:r>
        <w:t xml:space="preserve">— 151 of them present in this data, and the label set of the fine brain split</w:t>
      </w:r>
      <w:r>
        <w:t xml:space="preserve"> </w:t>
      </w:r>
      <w:r>
        <w:t xml:space="preserve">in §3.1 — while 55% of its cells fall in one class,</w:t>
      </w:r>
      <w:r>
        <w:t xml:space="preserve"> </w:t>
      </w:r>
      <w:r>
        <w:rPr>
          <w:rStyle w:val="VerbatimChar"/>
        </w:rPr>
        <w:t xml:space="preserve">L2/3-6 intratelencephalic projecting glutamatergic neuron</w:t>
      </w:r>
      <w:r>
        <w:t xml:space="preserve">. Concordances near 0.98 and agreement at 94% are what a coarse truth</w:t>
      </w:r>
      <w:r>
        <w:t xml:space="preserve"> </w:t>
      </w:r>
      <w:r>
        <w:t xml:space="preserve">vocabulary produces, not what an easy tissue produces. The partition reports the resolution of</w:t>
      </w:r>
      <w:r>
        <w:t xml:space="preserve"> </w:t>
      </w:r>
      <w:r>
        <w:t xml:space="preserve">the annotation it is scored against, which is a property of the query rather than of the</w:t>
      </w:r>
      <w:r>
        <w:t xml:space="preserve"> </w:t>
      </w:r>
      <w:r>
        <w:t xml:space="preserve">method: it reports how much of a query is unambiguous at the resolution that query is</w:t>
      </w:r>
      <w:r>
        <w:t xml:space="preserve"> </w:t>
      </w:r>
      <w:r>
        <w:t xml:space="preserve">annotated to.</w:t>
      </w:r>
    </w:p>
    <w:p>
      <w:pPr>
        <w:pStyle w:val="BodyText"/>
      </w:pPr>
      <w:r>
        <w:t xml:space="preserve">The consensus</w:t>
      </w:r>
      <w:r>
        <w:t xml:space="preserve"> </w:t>
      </w:r>
      <w:r>
        <w:rPr>
          <w:i/>
          <w:iCs/>
        </w:rPr>
        <w:t xml:space="preserve">label</w:t>
      </w:r>
      <w:r>
        <w:t xml:space="preserve"> </w:t>
      </w:r>
      <w:r>
        <w:t xml:space="preserve">is not the prize in any of the three, and brain shows why the rule</w:t>
      </w:r>
      <w:r>
        <w:t xml:space="preserve"> </w:t>
      </w:r>
      <w:r>
        <w:t xml:space="preserve">itself is weak. Taking the most specific call the agreeing references support scores 0.365 on</w:t>
      </w:r>
      <w:r>
        <w:t xml:space="preserve"> </w:t>
      </w:r>
      <w:r>
        <w:t xml:space="preserve">liver against the best single reference’s 0.408, 0.828 on lung against 0.831, and 0.837 on</w:t>
      </w:r>
      <w:r>
        <w:t xml:space="preserve"> </w:t>
      </w:r>
      <w:r>
        <w:t xml:space="preserve">brain against 0.987. That last gap is large because</w:t>
      </w:r>
      <w:r>
        <w:t xml:space="preserve"> </w:t>
      </w:r>
      <w:r>
        <w:t xml:space="preserve">“most specific agreeing call”</w:t>
      </w:r>
      <w:r>
        <w:t xml:space="preserve"> </w:t>
      </w:r>
      <w:r>
        <w:t xml:space="preserve">lets one</w:t>
      </w:r>
      <w:r>
        <w:t xml:space="preserve"> </w:t>
      </w:r>
      <w:r>
        <w:t xml:space="preserve">reference’s confident, lineage-compatible but wrong specificity override two correct coarser</w:t>
      </w:r>
      <w:r>
        <w:t xml:space="preserve"> </w:t>
      </w:r>
      <w:r>
        <w:t xml:space="preserve">calls: on the 94% of brain cells where all three agree, the two strong references score 0.997</w:t>
      </w:r>
      <w:r>
        <w:t xml:space="preserve"> </w:t>
      </w:r>
      <w:r>
        <w:t xml:space="preserve">and the consensus built from them scores 0.837. A better rule may exist; what the experiment</w:t>
      </w:r>
      <w:r>
        <w:t xml:space="preserve"> </w:t>
      </w:r>
      <w:r>
        <w:t xml:space="preserve">establishes is that the</w:t>
      </w:r>
      <w:r>
        <w:t xml:space="preserve"> </w:t>
      </w:r>
      <w:r>
        <w:rPr>
          <w:i/>
          <w:iCs/>
        </w:rPr>
        <w:t xml:space="preserve">partition</w:t>
      </w:r>
      <w:r>
        <w:t xml:space="preserve"> </w:t>
      </w:r>
      <w:r>
        <w:t xml:space="preserve">carries the information and the label does not.</w:t>
      </w:r>
    </w:p>
    <w:p>
      <w:pPr>
        <w:pStyle w:val="BodyText"/>
      </w:pPr>
      <w:r>
        <w:rPr>
          <w:b/>
          <w:bCs/>
        </w:rPr>
        <w:t xml:space="preserve">What counts as agreement is the ontology’s judgment, not ours.</w:t>
      </w:r>
      <w:r>
        <w:t xml:space="preserve"> </w:t>
      </w:r>
      <w:r>
        <w:t xml:space="preserve">The relation above is</w:t>
      </w:r>
      <w:r>
        <w:t xml:space="preserve"> </w:t>
      </w:r>
      <w:r>
        <w:t xml:space="preserve">inherited wholesale from the Cell Ontology: two calls agree when CL says one subsumes the</w:t>
      </w:r>
      <w:r>
        <w:t xml:space="preserve"> </w:t>
      </w:r>
      <w:r>
        <w:t xml:space="preserve">other. Where CL is coarse or incomplete, two references naming the same population can be</w:t>
      </w:r>
      <w:r>
        <w:t xml:space="preserve"> </w:t>
      </w:r>
      <w:r>
        <w:t xml:space="preserve">scored as disagreeing; where it is deep, a pair of calls can agree at a resolution neither</w:t>
      </w:r>
      <w:r>
        <w:t xml:space="preserve"> </w:t>
      </w:r>
      <w:r>
        <w:t xml:space="preserve">reference meant to assert. The comparison was</w:t>
      </w:r>
      <w:r>
        <w:t xml:space="preserve"> </w:t>
      </w:r>
      <w:r>
        <w:t xml:space="preserve">possible at all only because Pan-human Azimuth publishes a CL term for every node of its</w:t>
      </w:r>
      <w:r>
        <w:t xml:space="preserve"> </w:t>
      </w:r>
      <w:r>
        <w:t xml:space="preserve">typology; an annotator with no crosswalk cannot enter this analysis regardless of how</w:t>
      </w:r>
      <w:r>
        <w:t xml:space="preserve"> </w:t>
      </w:r>
      <w:r>
        <w:t xml:space="preserve">good its labels are.</w:t>
      </w:r>
    </w:p>
    <w:p>
      <w:pPr>
        <w:pStyle w:val="BodyText"/>
      </w:pPr>
      <w:r>
        <w:t xml:space="preserve">The alternative design targets exactly this problem, and looking at it closely shows why the</w:t>
      </w:r>
      <w:r>
        <w:t xml:space="preserve"> </w:t>
      </w:r>
      <w:r>
        <w:t xml:space="preserve">substitution is not free. The Common Cell type Nomenclature</w:t>
      </w:r>
      <w:r>
        <w:t xml:space="preserve"> </w:t>
      </w:r>
      <w:hyperlink r:id="rId68">
        <w:r>
          <w:rPr>
            <w:rStyle w:val="Hyperlink"/>
          </w:rPr>
          <w:t xml:space="preserve">[Miller 2020]</w:t>
        </w:r>
      </w:hyperlink>
      <w:r>
        <w:t xml:space="preserve"> </w:t>
      </w:r>
      <w:r>
        <w:t xml:space="preserve">gives each taxonomy’s</w:t>
      </w:r>
      <w:r>
        <w:t xml:space="preserve"> </w:t>
      </w:r>
      <w:r>
        <w:t xml:space="preserve">cell sets stable accessions (</w:t>
      </w:r>
      <w:r>
        <w:rPr>
          <w:rStyle w:val="VerbatimChar"/>
        </w:rPr>
        <w:t xml:space="preserve">CS[taxonomy id]_[n]</w:t>
      </w:r>
      <w:r>
        <w:t xml:space="preserve">) plus a curated alias layer, treating CL as</w:t>
      </w:r>
      <w:r>
        <w:t xml:space="preserve"> </w:t>
      </w:r>
      <w:r>
        <w:t xml:space="preserve">one alignment target rather than as the coordinate system. In the published human middle</w:t>
      </w:r>
      <w:r>
        <w:t xml:space="preserve"> </w:t>
      </w:r>
      <w:r>
        <w:t xml:space="preserve">temporal gyrus taxonomy</w:t>
      </w:r>
      <w:r>
        <w:t xml:space="preserve"> </w:t>
      </w:r>
      <w:r>
        <w:rPr>
          <w:rStyle w:val="VerbatimChar"/>
        </w:rPr>
        <w:t xml:space="preserve">CCN201908210</w:t>
      </w:r>
      <w:r>
        <w:t xml:space="preserve">, 154 cell sets carry an accession and a structure tag —</w:t>
      </w:r>
      <w:r>
        <w:t xml:space="preserve"> </w:t>
      </w:r>
      <w:r>
        <w:rPr>
          <w:rStyle w:val="VerbatimChar"/>
        </w:rPr>
        <w:t xml:space="preserve">UBERON:0002771</w:t>
      </w:r>
      <w:r>
        <w:t xml:space="preserve">, the gyrus itself — but</w:t>
      </w:r>
      <w:r>
        <w:t xml:space="preserve"> </w:t>
      </w:r>
      <w:r>
        <w:rPr>
          <w:b/>
          <w:bCs/>
        </w:rPr>
        <w:t xml:space="preserve">no cell-type ontology id at all</w:t>
      </w:r>
      <w:r>
        <w:t xml:space="preserve">; the field that</w:t>
      </w:r>
      <w:r>
        <w:t xml:space="preserve"> </w:t>
      </w:r>
      <w:r>
        <w:t xml:space="preserve">matches cell sets across taxonomies, the aligned alias, is populated for</w:t>
      </w:r>
      <w:r>
        <w:t xml:space="preserve"> </w:t>
      </w:r>
      <w:r>
        <w:rPr>
          <w:b/>
          <w:bCs/>
        </w:rPr>
        <w:t xml:space="preserve">23 of the 154</w:t>
      </w:r>
      <w:r>
        <w:t xml:space="preserve">. Of</w:t>
      </w:r>
      <w:r>
        <w:t xml:space="preserve"> </w:t>
      </w:r>
      <w:r>
        <w:t xml:space="preserve">those 23, eight match a CL term name or synonym by exact string (</w:t>
      </w:r>
      <w:r>
        <w:rPr>
          <w:rStyle w:val="VerbatimChar"/>
        </w:rPr>
        <w:t xml:space="preserve">L2/3 IT</w:t>
      </w:r>
      <w:r>
        <w:t xml:space="preserve">,</w:t>
      </w:r>
      <w:r>
        <w:t xml:space="preserve"> </w:t>
      </w:r>
      <w:r>
        <w:rPr>
          <w:rStyle w:val="VerbatimChar"/>
        </w:rPr>
        <w:t xml:space="preserve">L5 IT</w:t>
      </w:r>
      <w:r>
        <w:t xml:space="preserve">,</w:t>
      </w:r>
      <w:r>
        <w:t xml:space="preserve"> </w:t>
      </w:r>
      <w:r>
        <w:rPr>
          <w:rStyle w:val="VerbatimChar"/>
        </w:rPr>
        <w:t xml:space="preserve">L5/6 NP</w:t>
      </w:r>
      <w:r>
        <w:t xml:space="preserve">,</w:t>
      </w:r>
      <w:r>
        <w:t xml:space="preserve"> </w:t>
      </w:r>
      <w:r>
        <w:rPr>
          <w:rStyle w:val="VerbatimChar"/>
        </w:rPr>
        <w:t xml:space="preserve">L6 CT</w:t>
      </w:r>
      <w:r>
        <w:t xml:space="preserve">,</w:t>
      </w:r>
      <w:r>
        <w:t xml:space="preserve"> </w:t>
      </w:r>
      <w:r>
        <w:rPr>
          <w:rStyle w:val="VerbatimChar"/>
        </w:rPr>
        <w:t xml:space="preserve">L6 IT</w:t>
      </w:r>
      <w:r>
        <w:t xml:space="preserve">,</w:t>
      </w:r>
      <w:r>
        <w:t xml:space="preserve"> </w:t>
      </w:r>
      <w:r>
        <w:rPr>
          <w:rStyle w:val="VerbatimChar"/>
        </w:rPr>
        <w:t xml:space="preserve">Lamp5</w:t>
      </w:r>
      <w:r>
        <w:t xml:space="preserve">,</w:t>
      </w:r>
      <w:r>
        <w:t xml:space="preserve"> </w:t>
      </w:r>
      <w:r>
        <w:rPr>
          <w:rStyle w:val="VerbatimChar"/>
        </w:rPr>
        <w:t xml:space="preserve">OPC</w:t>
      </w:r>
      <w:r>
        <w:t xml:space="preserve">,</w:t>
      </w:r>
      <w:r>
        <w:t xml:space="preserve"> </w:t>
      </w:r>
      <w:r>
        <w:rPr>
          <w:rStyle w:val="VerbatimChar"/>
        </w:rPr>
        <w:t xml:space="preserve">Sst Chodl</w:t>
      </w:r>
      <w:r>
        <w:t xml:space="preserve">); most of the rest are abbreviations such as</w:t>
      </w:r>
      <w:r>
        <w:t xml:space="preserve"> </w:t>
      </w:r>
      <w:r>
        <w:rPr>
          <w:rStyle w:val="VerbatimChar"/>
        </w:rPr>
        <w:t xml:space="preserve">Astro</w:t>
      </w:r>
      <w:r>
        <w:t xml:space="preserve">,</w:t>
      </w:r>
      <w:r>
        <w:t xml:space="preserve"> </w:t>
      </w:r>
      <w:r>
        <w:rPr>
          <w:rStyle w:val="VerbatimChar"/>
        </w:rPr>
        <w:t xml:space="preserve">Oligo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Endo</w:t>
      </w:r>
      <w:r>
        <w:t xml:space="preserve"> </w:t>
      </w:r>
      <w:r>
        <w:t xml:space="preserve">whose expansions do exist in CL, so the true overlap is larger than</w:t>
      </w:r>
      <w:r>
        <w:t xml:space="preserve"> </w:t>
      </w:r>
      <w:r>
        <w:t xml:space="preserve">a string test finds and is exactly as large as someone is willing to curate.</w:t>
      </w:r>
    </w:p>
    <w:p>
      <w:pPr>
        <w:pStyle w:val="BodyText"/>
      </w:pPr>
      <w:r>
        <w:t xml:space="preserve">The 151-type brain split of §3.1 uses those cell sets as its label set. Because they carry no</w:t>
      </w:r>
      <w:r>
        <w:t xml:space="preserve"> </w:t>
      </w:r>
      <w:r>
        <w:t xml:space="preserve">ontology id, calls at that resolution can only be checked against the taxonomy’s own strings:</w:t>
      </w:r>
      <w:r>
        <w:t xml:space="preserve"> </w:t>
      </w:r>
      <w:r>
        <w:t xml:space="preserve">that split is scored by exact match alone, and the ranking it produces — correlation methods</w:t>
      </w:r>
      <w:r>
        <w:t xml:space="preserve"> </w:t>
      </w:r>
      <w:r>
        <w:t xml:space="preserve">first, trained classifiers last — cannot be cross-checked against the ontology-aware column</w:t>
      </w:r>
      <w:r>
        <w:t xml:space="preserve"> </w:t>
      </w:r>
      <w:r>
        <w:t xml:space="preserve">used elsewhere in this paper.</w:t>
      </w:r>
    </w:p>
    <w:p>
      <w:pPr>
        <w:pStyle w:val="BodyText"/>
      </w:pPr>
      <w:r>
        <w:t xml:space="preserve">That is the substantive difference. CL supplies a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subsumption relation — every pair of</w:t>
      </w:r>
      <w:r>
        <w:t xml:space="preserve"> </w:t>
      </w:r>
      <w:r>
        <w:t xml:space="preserve">terms is comparable, at whatever granularity CL happens to encode — which is what makes an</w:t>
      </w:r>
      <w:r>
        <w:t xml:space="preserve"> </w:t>
      </w:r>
      <w:r>
        <w:t xml:space="preserve">agreement partition computable at all. CCN supplies exact provenance, which CL cannot: it</w:t>
      </w:r>
      <w:r>
        <w:t xml:space="preserve"> </w:t>
      </w:r>
      <w:r>
        <w:t xml:space="preserve">records which taxonomy, which algorithm and which publication a label came from. An agreement</w:t>
      </w:r>
      <w:r>
        <w:t xml:space="preserve"> </w:t>
      </w:r>
      <w:r>
        <w:t xml:space="preserve">relation built on CCN accessions alone would be undefined for most pairs of cell sets, because</w:t>
      </w:r>
      <w:r>
        <w:t xml:space="preserve"> </w:t>
      </w:r>
      <w:r>
        <w:t xml:space="preserve">accessions are deliberately taxonomy-scoped rather than shared. The two systems answer</w:t>
      </w:r>
      <w:r>
        <w:t xml:space="preserve"> </w:t>
      </w:r>
      <w:r>
        <w:t xml:space="preserve">different questions, and a workflow that compares annotations across references needs both: CL</w:t>
      </w:r>
      <w:r>
        <w:t xml:space="preserve"> </w:t>
      </w:r>
      <w:r>
        <w:t xml:space="preserve">to decide whether two calls are compatible, CCN to say what each call actually was.</w:t>
      </w:r>
    </w:p>
    <w:bookmarkEnd w:id="69"/>
    <w:bookmarkStart w:id="76" w:name="rejection-abstain"/>
    <w:p>
      <w:pPr>
        <w:pStyle w:val="Heading2"/>
      </w:pPr>
      <w:r>
        <w:t xml:space="preserve">Rejection / abstain</w:t>
      </w:r>
    </w:p>
    <w:p>
      <w:pPr>
        <w:pStyle w:val="FirstParagraph"/>
      </w:pPr>
      <w:r>
        <w:t xml:space="preserve">Holding out 9 of 36 cell types entirely from the HLiCA liver reference (so 1,350 query</w:t>
      </w:r>
      <w:r>
        <w:t xml:space="preserve"> </w:t>
      </w:r>
      <w:r>
        <w:t xml:space="preserve">cells are genuinely out-of-distribution), we sweep a confidence threshold over every method</w:t>
      </w:r>
      <w:r>
        <w:t xml:space="preserve"> </w:t>
      </w:r>
      <w:r>
        <w:t xml:space="preserve">that returns a per-cell confidence. Eight do; for scANVI and scArches the confidence is the</w:t>
      </w:r>
      <w:r>
        <w:t xml:space="preserve"> </w:t>
      </w:r>
      <w:r>
        <w:t xml:space="preserve">maximum class posterior from the model’s soft prediction. SVM, SingleR and scPRINT return no</w:t>
      </w:r>
      <w:r>
        <w:t xml:space="preserve"> </w:t>
      </w:r>
      <w:r>
        <w:t xml:space="preserve">per-cell confidence and cannot be swept, and scmap-cluster has a single native</w:t>
      </w:r>
      <w:r>
        <w:t xml:space="preserve"> </w:t>
      </w:r>
      <w:r>
        <w:t xml:space="preserve">“unassigned”</w:t>
      </w:r>
      <w:r>
        <w:t xml:space="preserve"> </w:t>
      </w:r>
      <w:r>
        <w:t xml:space="preserve">decision rather than a threshold.</w:t>
      </w:r>
    </w:p>
    <w:p>
      <w:pPr>
        <w:pStyle w:val="BodyText"/>
      </w:pPr>
      <w:r>
        <w:drawing>
          <wp:inline>
            <wp:extent cx="5334000" cy="2684806"/>
            <wp:effectExtent b="0" l="0" r="0" t="0"/>
            <wp:docPr descr="what a threshold does to each method" title="" id="71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abstain_grid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48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7.</w:t>
      </w:r>
      <w:r>
        <w:t xml:space="preserve"> </w:t>
      </w:r>
      <w:r>
        <w:t xml:space="preserve">What a confidence threshold does to each of the eight methods that return a</w:t>
      </w:r>
      <w:r>
        <w:t xml:space="preserve"> </w:t>
      </w:r>
      <w:r>
        <w:t xml:space="preserve">per-cell confidence, with 9 of 36 cell types held out of the liver reference so 1,350 query</w:t>
      </w:r>
      <w:r>
        <w:t xml:space="preserve"> </w:t>
      </w:r>
      <w:r>
        <w:t xml:space="preserve">cells are out-of-distribution. Every quantity is a fraction, so all three share one axis:</w:t>
      </w:r>
      <w:r>
        <w:t xml:space="preserve"> </w:t>
      </w:r>
      <w:r>
        <w:t xml:space="preserve">accuracy on kept cells, coverage, and the share of held-out-type cells flagged. The five that</w:t>
      </w:r>
      <w:r>
        <w:t xml:space="preserve"> </w:t>
      </w:r>
      <w:r>
        <w:t xml:space="preserve">work share a shape — accuracy and novelty rising as coverage falls — and the three that do not</w:t>
      </w:r>
      <w:r>
        <w:t xml:space="preserve"> </w:t>
      </w:r>
      <w:r>
        <w:t xml:space="preserve">each fail visibly and differently. Per-threshold values are in</w:t>
      </w:r>
      <w:r>
        <w:t xml:space="preserve"> </w:t>
      </w:r>
      <w:r>
        <w:rPr>
          <w:rStyle w:val="VerbatimChar"/>
        </w:rPr>
        <w:t xml:space="preserve">results_rejection.csv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Five of the eight give a threshold that does something; three do not.</w:t>
      </w:r>
      <w:r>
        <w:t xml:space="preserve"> </w:t>
      </w:r>
      <w:r>
        <w:t xml:space="preserve">actinn-jax,</w:t>
      </w:r>
      <w:r>
        <w:t xml:space="preserve"> </w:t>
      </w:r>
      <w:r>
        <w:t xml:space="preserve">scArches, scANVI, the linear pipeline and kNN all trade coverage for accuracy across the</w:t>
      </w:r>
      <w:r>
        <w:t xml:space="preserve"> </w:t>
      </w:r>
      <w:r>
        <w:t xml:space="preserve">range. The other three fail in different ways: CellTypist’s probabilities are saturated near 0</w:t>
      </w:r>
      <w:r>
        <w:t xml:space="preserve"> </w:t>
      </w:r>
      <w:r>
        <w:t xml:space="preserve">or 1, so every threshold from 0.3 to 0.9 lands on one operating point; scTOP’s projection score</w:t>
      </w:r>
      <w:r>
        <w:t xml:space="preserve"> </w:t>
      </w:r>
      <w:r>
        <w:t xml:space="preserve">is not a calibrated probability and discards all but 6% of the query by p≥0.5; ProtoCloud’s</w:t>
      </w:r>
      <w:r>
        <w:t xml:space="preserve"> </w:t>
      </w:r>
      <w:r>
        <w:t xml:space="preserve">ambiguity flag barely moves until 0.9.</w:t>
      </w:r>
    </w:p>
    <w:p>
      <w:pPr>
        <w:pStyle w:val="BodyText"/>
      </w:pPr>
      <w:r>
        <w:t xml:space="preserve">Among the five that work, abstain quality does not separate them the way cost does</w:t>
      </w:r>
      <w:r>
        <w:t xml:space="preserve"> </w:t>
      </w:r>
      <w:r>
        <w:t xml:space="preserve">(Figure 8). actinn-jax and scArches are effectively tied — at p≥0.9, 0.969 accuracy on 66% of cells with</w:t>
      </w:r>
      <w:r>
        <w:t xml:space="preserve"> </w:t>
      </w:r>
      <w:r>
        <w:t xml:space="preserve">73% of novel cells flagged against 0.983 on 61% with 71% flagged — and scANVI is close behind.</w:t>
      </w:r>
      <w:r>
        <w:t xml:space="preserve"> </w:t>
      </w:r>
      <w:r>
        <w:t xml:space="preserve">kNN reaches the highest novelty detection (83%) by keeping only 36% of the query, which is a</w:t>
      </w:r>
      <w:r>
        <w:t xml:space="preserve"> </w:t>
      </w:r>
      <w:r>
        <w:t xml:space="preserve">different operating regime rather than a better one, and the linear pipeline is the weakest</w:t>
      </w:r>
      <w:r>
        <w:t xml:space="preserve"> </w:t>
      </w:r>
      <w:r>
        <w:t xml:space="preserve">here, flagging 46% of novel cells at the threshold where actinn-jax flags 73%. The distinction</w:t>
      </w:r>
      <w:r>
        <w:t xml:space="preserve"> </w:t>
      </w:r>
      <w:r>
        <w:t xml:space="preserve">worth drawing is therefore not that actinn-jax abstains better than the deep methods but that</w:t>
      </w:r>
      <w:r>
        <w:t xml:space="preserve"> </w:t>
      </w:r>
      <w:r>
        <w:t xml:space="preserve">it abstains as well for 0.54 s of predict time against scArches’s 17.2 s and scANVI’s 66.7 s</w:t>
      </w:r>
      <w:r>
        <w:t xml:space="preserve"> </w:t>
      </w:r>
      <w:r>
        <w:t xml:space="preserve">(Table 3) — the same accuracy-at-a-fraction-of-the-cost pattern §3.1 reports, applied to the</w:t>
      </w:r>
      <w:r>
        <w:t xml:space="preserve"> </w:t>
      </w:r>
      <w:r>
        <w:t xml:space="preserve">mechanism the workflow of §3.4 routes on.</w:t>
      </w:r>
    </w:p>
    <w:p>
      <w:pPr>
        <w:pStyle w:val="BodyText"/>
      </w:pPr>
      <w:r>
        <w:drawing>
          <wp:inline>
            <wp:extent cx="5334000" cy="2395249"/>
            <wp:effectExtent b="0" l="0" r="0" t="0"/>
            <wp:docPr descr="the abstain trade-off" title="" id="74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abstain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952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8.</w:t>
      </w:r>
      <w:r>
        <w:t xml:space="preserve"> </w:t>
      </w:r>
      <w:r>
        <w:t xml:space="preserve">The same sweep read as a trade-off, which is what compares methods to each</w:t>
      </w:r>
      <w:r>
        <w:t xml:space="preserve"> </w:t>
      </w:r>
      <w:r>
        <w:t xml:space="preserve">other rather than to themselves.</w:t>
      </w:r>
      <w:r>
        <w:t xml:space="preserve"> </w:t>
      </w:r>
      <w:r>
        <w:rPr>
          <w:i/>
          <w:iCs/>
        </w:rPr>
        <w:t xml:space="preserve">Left:</w:t>
      </w:r>
      <w:r>
        <w:t xml:space="preserve"> </w:t>
      </w:r>
      <w:r>
        <w:t xml:space="preserve">accuracy on kept cells against the fraction kept — the</w:t>
      </w:r>
      <w:r>
        <w:t xml:space="preserve"> </w:t>
      </w:r>
      <w:r>
        <w:t xml:space="preserve">five usable methods lie along one band, which is the basis for calling their abstain quality</w:t>
      </w:r>
      <w:r>
        <w:t xml:space="preserve"> </w:t>
      </w:r>
      <w:r>
        <w:t xml:space="preserve">tied.</w:t>
      </w:r>
      <w:r>
        <w:t xml:space="preserve"> </w:t>
      </w:r>
      <w:r>
        <w:rPr>
          <w:i/>
          <w:iCs/>
        </w:rPr>
        <w:t xml:space="preserve">Right:</w:t>
      </w:r>
      <w:r>
        <w:t xml:space="preserve"> </w:t>
      </w:r>
      <w:r>
        <w:t xml:space="preserve">the share of held-out-type cells flagged as the threshold rises. The three</w:t>
      </w:r>
      <w:r>
        <w:t xml:space="preserve"> </w:t>
      </w:r>
      <w:r>
        <w:t xml:space="preserve">methods Figure 7 shows failing appear here as curves that go nowhere along one axis or the</w:t>
      </w:r>
      <w:r>
        <w:t xml:space="preserve"> </w:t>
      </w:r>
      <w:r>
        <w:t xml:space="preserve">other.</w:t>
      </w:r>
    </w:p>
    <w:bookmarkEnd w:id="76"/>
    <w:bookmarkStart w:id="77" w:name="foundation-model-zero-shot-scprint"/>
    <w:p>
      <w:pPr>
        <w:pStyle w:val="Heading2"/>
      </w:pPr>
      <w:r>
        <w:t xml:space="preserve">Foundation-model zero-shot (scPRINT)</w:t>
      </w:r>
    </w:p>
    <w:p>
      <w:pPr>
        <w:pStyle w:val="FirstParagraph"/>
      </w:pPr>
      <w:r>
        <w:t xml:space="preserve">scPRINT is run separately as a zero-shot predictor (no training on the reference), as a</w:t>
      </w:r>
      <w:r>
        <w:t xml:space="preserve"> </w:t>
      </w:r>
      <w:r>
        <w:t xml:space="preserve">reference point for the</w:t>
      </w:r>
      <w:r>
        <w:t xml:space="preserve"> </w:t>
      </w:r>
      <w:r>
        <w:t xml:space="preserve">“just use a foundation model”</w:t>
      </w:r>
      <w:r>
        <w:t xml:space="preserve"> </w:t>
      </w:r>
      <w:r>
        <w:t xml:space="preserve">alternative. On the lung dataset it</w:t>
      </w:r>
      <w:r>
        <w:t xml:space="preserve"> </w:t>
      </w:r>
      <w:r>
        <w:t xml:space="preserve">scored</w:t>
      </w:r>
      <w:r>
        <w:t xml:space="preserve"> </w:t>
      </w:r>
      <w:r>
        <w:rPr>
          <w:b/>
          <w:bCs/>
        </w:rPr>
        <w:t xml:space="preserve">exact-match accuracy 0.029 / ontology concordance 0.201, taking 62 s for 2,694 query</w:t>
      </w:r>
      <w:r>
        <w:rPr>
          <w:b/>
          <w:bCs/>
        </w:rPr>
        <w:t xml:space="preserve"> </w:t>
      </w:r>
      <w:r>
        <w:rPr>
          <w:b/>
          <w:bCs/>
        </w:rPr>
        <w:t xml:space="preserve">cells</w:t>
      </w:r>
      <w:r>
        <w:t xml:space="preserve"> </w:t>
      </w:r>
      <w:r>
        <w:t xml:space="preserve">— against actinn-jax’s 0.894 in 0.23 s — so as a</w:t>
      </w:r>
      <w:r>
        <w:t xml:space="preserve"> </w:t>
      </w:r>
      <w:r>
        <w:rPr>
          <w:i/>
          <w:iCs/>
        </w:rPr>
        <w:t xml:space="preserve">label</w:t>
      </w:r>
      <w:r>
        <w:t xml:space="preserve"> </w:t>
      </w:r>
      <w:r>
        <w:t xml:space="preserve">predictor it is both slow</w:t>
      </w:r>
      <w:r>
        <w:t xml:space="preserve"> </w:t>
      </w:r>
      <w:r>
        <w:t xml:space="preserve">(</w:t>
      </w:r>
      <w:r>
        <w:rPr>
          <w:b/>
          <w:bCs/>
        </w:rPr>
        <w:t xml:space="preserve">~280×</w:t>
      </w:r>
      <w:r>
        <w:t xml:space="preserve"> </w:t>
      </w:r>
      <w:r>
        <w:t xml:space="preserve">actinn-jax) and weak. It is reported on lung alone because its fixed vocabulary</w:t>
      </w:r>
      <w:r>
        <w:t xml:space="preserve"> </w:t>
      </w:r>
      <w:r>
        <w:t xml:space="preserve">cannot score the other datasets: the liver and blood+gut sets contain Cell Ontology terms</w:t>
      </w:r>
      <w:r>
        <w:t xml:space="preserve"> </w:t>
      </w:r>
      <w:r>
        <w:t xml:space="preserve">absent from its label set, and it declines them rather than guessing. That is an inherent</w:t>
      </w:r>
      <w:r>
        <w:t xml:space="preserve"> </w:t>
      </w:r>
      <w:r>
        <w:t xml:space="preserve">property of a zero-shot label head rather than a defect, but it does mean the raw predictions</w:t>
      </w:r>
      <w:r>
        <w:t xml:space="preserve"> </w:t>
      </w:r>
      <w:r>
        <w:t xml:space="preserve">are not a drop-in annotator. It is why the two-stage workflow uses scPRINT’s</w:t>
      </w:r>
      <w:r>
        <w:t xml:space="preserve"> </w:t>
      </w:r>
      <w:r>
        <w:rPr>
          <w:b/>
          <w:bCs/>
        </w:rPr>
        <w:t xml:space="preserve">embeddings</w:t>
      </w:r>
      <w:r>
        <w:t xml:space="preserve"> </w:t>
      </w:r>
      <w:r>
        <w:t xml:space="preserve">—</w:t>
      </w:r>
      <w:r>
        <w:t xml:space="preserve"> </w:t>
      </w:r>
      <w:r>
        <w:t xml:space="preserve">its learned structure — to shape a small trained model, and never its zero-shot labels.</w:t>
      </w:r>
    </w:p>
    <w:bookmarkEnd w:id="77"/>
    <w:bookmarkStart w:id="86" w:name="X073cf3caac1f6b108657735a42ae0c9978dc036"/>
    <w:p>
      <w:pPr>
        <w:pStyle w:val="Heading2"/>
      </w:pPr>
      <w:r>
        <w:t xml:space="preserve">External validation: Open Problems</w:t>
      </w:r>
      <w:r>
        <w:t xml:space="preserve"> </w:t>
      </w:r>
      <w:r>
        <w:rPr>
          <w:rStyle w:val="VerbatimChar"/>
        </w:rPr>
        <w:t xml:space="preserve">label_projection</w:t>
      </w:r>
    </w:p>
    <w:p>
      <w:pPr>
        <w:pStyle w:val="FirstParagraph"/>
      </w:pPr>
      <w:r>
        <w:t xml:space="preserve">Our in-house benchmark is neutral but self-run. For an</w:t>
      </w:r>
      <w:r>
        <w:t xml:space="preserve"> </w:t>
      </w:r>
      <w:r>
        <w:rPr>
          <w:b/>
          <w:bCs/>
        </w:rPr>
        <w:t xml:space="preserve">independent</w:t>
      </w:r>
      <w:r>
        <w:t xml:space="preserve"> </w:t>
      </w:r>
      <w:r>
        <w:t xml:space="preserve">check, we ran</w:t>
      </w:r>
      <w:r>
        <w:t xml:space="preserve"> </w:t>
      </w:r>
      <w:r>
        <w:t xml:space="preserve">actinn-jax through the community-standard</w:t>
      </w:r>
      <w:r>
        <w:t xml:space="preserve"> </w:t>
      </w:r>
      <w:hyperlink r:id="rId78">
        <w:r>
          <w:rPr>
            <w:rStyle w:val="Hyperlink"/>
          </w:rPr>
          <w:t xml:space="preserve">Open Problems</w:t>
        </w:r>
      </w:hyperlink>
      <w:r>
        <w:t xml:space="preserve"> </w:t>
      </w:r>
      <w:r>
        <w:t xml:space="preserve">label-projection task — their 6 datasets, splits, and metrics — and slotted it into their</w:t>
      </w:r>
      <w:r>
        <w:t xml:space="preserve"> </w:t>
      </w:r>
      <w:r>
        <w:t xml:space="preserve">published v2.0.0 leaderboard.</w:t>
      </w:r>
    </w:p>
    <w:p>
      <w:pPr>
        <w:pStyle w:val="BodyText"/>
      </w:pPr>
      <w:r>
        <w:rPr>
          <w:b/>
          <w:bCs/>
        </w:rPr>
        <w:t xml:space="preserve">Placement.</w:t>
      </w:r>
      <w:r>
        <w:t xml:space="preserve"> </w:t>
      </w:r>
      <w:r>
        <w:t xml:space="preserve">On a benchmark we did not design and cannot tune,</w:t>
      </w:r>
      <w:r>
        <w:t xml:space="preserve"> </w:t>
      </w:r>
      <w:r>
        <w:rPr>
          <w:b/>
          <w:bCs/>
        </w:rPr>
        <w:t xml:space="preserve">actinn-jax places 3rd of</w:t>
      </w:r>
      <w:r>
        <w:rPr>
          <w:b/>
          <w:bCs/>
        </w:rPr>
        <w:t xml:space="preserve"> </w:t>
      </w:r>
      <w:r>
        <w:rPr>
          <w:b/>
          <w:bCs/>
        </w:rPr>
        <w:t xml:space="preserve">17 on mean accuracy (0.837), 1st among all methods that complete every dataset</w:t>
      </w:r>
      <w:r>
        <w:t xml:space="preserve">, beats its</w:t>
      </w:r>
      <w:r>
        <w:t xml:space="preserve"> </w:t>
      </w:r>
      <w:r>
        <w:t xml:space="preserve">PCA-space</w:t>
      </w:r>
      <w:r>
        <w:t xml:space="preserve"> </w:t>
      </w:r>
      <w:r>
        <w:rPr>
          <w:rStyle w:val="VerbatimChar"/>
        </w:rPr>
        <w:t xml:space="preserve">mlp</w:t>
      </w:r>
      <w:r>
        <w:t xml:space="preserve"> </w:t>
      </w:r>
      <w:r>
        <w:t xml:space="preserve">sibling, and posts the best accuracy of any completing method on the hardest</w:t>
      </w:r>
      <w:r>
        <w:t xml:space="preserve"> </w:t>
      </w:r>
      <w:r>
        <w:t xml:space="preserve">dataset (tabula_sapiens, 160 types: 0.394 vs mlp 0.342). It is upper-mid on macro-F1 and</w:t>
      </w:r>
      <w:r>
        <w:t xml:space="preserve"> </w:t>
      </w:r>
      <w:r>
        <w:rPr>
          <w:b/>
          <w:bCs/>
        </w:rPr>
        <w:t xml:space="preserve">not the top method overall</w:t>
      </w:r>
      <w:r>
        <w:t xml:space="preserve"> </w:t>
      </w:r>
      <w:r>
        <w:t xml:space="preserve">— scANVI+scArches surgery and xgboost</w:t>
      </w:r>
      <w:r>
        <w:t xml:space="preserve"> </w:t>
      </w:r>
      <w:hyperlink r:id="rId79">
        <w:r>
          <w:rPr>
            <w:rStyle w:val="Hyperlink"/>
          </w:rPr>
          <w:t xml:space="preserve">[Chen &amp; Guestrin 2016]</w:t>
        </w:r>
      </w:hyperlink>
      <w:r>
        <w:t xml:space="preserve"> </w:t>
      </w:r>
      <w:r>
        <w:t xml:space="preserve">score higher on the</w:t>
      </w:r>
      <w:r>
        <w:t xml:space="preserve"> </w:t>
      </w:r>
      <w:r>
        <w:t xml:space="preserve">datasets they finish, though both</w:t>
      </w:r>
      <w:r>
        <w:t xml:space="preserve"> </w:t>
      </w:r>
      <w:r>
        <w:rPr>
          <w:b/>
          <w:bCs/>
        </w:rPr>
        <w:t xml:space="preserve">fail to complete tabula_sapiens</w:t>
      </w:r>
      <w:r>
        <w:t xml:space="preserve">, which is why they</w:t>
      </w:r>
      <w:r>
        <w:t xml:space="preserve"> </w:t>
      </w:r>
      <w:r>
        <w:t xml:space="preserve">rank above actinn-jax only on a mean over the 5 easier datasets. The foundation models again</w:t>
      </w:r>
      <w:r>
        <w:t xml:space="preserve"> </w:t>
      </w:r>
      <w:r>
        <w:t xml:space="preserve">land at the bottom (scgpt_zeroshot 0.639, uce 0.131 ≈ the random-labels control),</w:t>
      </w:r>
      <w:r>
        <w:t xml:space="preserve"> </w:t>
      </w:r>
      <w:r>
        <w:t xml:space="preserve">reproducing §3.6 externally.</w:t>
      </w:r>
    </w:p>
    <w:p>
      <w:pPr>
        <w:pStyle w:val="BodyText"/>
      </w:pPr>
      <w:r>
        <w:t xml:space="preserve">Means over the six datasets, every method through the same pipeline on one instance: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acc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macro-F1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peak mem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mlp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1.98×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 GB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actinn-jax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21.0 GB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linear-anova-pca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2.67×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 GB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SVM (SGD)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6.07×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logistic_regression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0.18×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20.0 GB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CellTypist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7.62×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0.07×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19.5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5.48×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80.7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cellmapper_linear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31.5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naive_bayes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19.5 GB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0.16×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20.4 GB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9.</w:t>
      </w:r>
      <w:r>
        <w:t xml:space="preserve"> </w:t>
      </w:r>
      <w:r>
        <w:t xml:space="preserve">All eleven methods on the six Open Problems datasets, ordered by accuracy. Bold</w:t>
      </w:r>
      <w:r>
        <w:t xml:space="preserve"> </w:t>
      </w:r>
      <w:r>
        <w:t xml:space="preserve">marks the five components we contributed.</w:t>
      </w:r>
      <w:r>
        <w:t xml:space="preserve"> </w:t>
      </w:r>
      <w:r>
        <w:rPr>
          <w:i/>
          <w:iCs/>
        </w:rPr>
        <w:t xml:space="preserve">cost</w:t>
      </w:r>
      <w:r>
        <w:t xml:space="preserve"> </w:t>
      </w:r>
      <w:r>
        <w:t xml:space="preserve">is per-dataset wall-clock relative to</w:t>
      </w:r>
      <w:r>
        <w:t xml:space="preserve"> </w:t>
      </w:r>
      <w:r>
        <w:t xml:space="preserve">actinn-jax (§2.10), for which 1.00× is roughly two minutes.</w:t>
      </w:r>
    </w:p>
    <w:p>
      <w:pPr>
        <w:pStyle w:val="BodyText"/>
      </w:pPr>
      <w:r>
        <w:t xml:space="preserve">actinn-jax</w:t>
      </w:r>
      <w:r>
        <w:t xml:space="preserve"> </w:t>
      </w:r>
      <w:r>
        <w:rPr>
          <w:b/>
          <w:bCs/>
        </w:rPr>
        <w:t xml:space="preserve">matches its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mlp</w:t>
      </w:r>
      <w:r>
        <w:rPr>
          <w:b/>
          <w:bCs/>
        </w:rPr>
        <w:t xml:space="preserve"> </w:t>
      </w:r>
      <w:r>
        <w:rPr>
          <w:b/>
          <w:bCs/>
        </w:rPr>
        <w:t xml:space="preserve">sibling on accuracy at half the cost</w:t>
      </w:r>
      <w:r>
        <w:t xml:space="preserve">, and</w:t>
      </w:r>
      <w:r>
        <w:t xml:space="preserve"> </w:t>
      </w:r>
      <w:r>
        <w:rPr>
          <w:b/>
          <w:bCs/>
        </w:rPr>
        <w:t xml:space="preserve">beats xgboost on</w:t>
      </w:r>
      <w:r>
        <w:rPr>
          <w:b/>
          <w:bCs/>
        </w:rPr>
        <w:t xml:space="preserve"> </w:t>
      </w:r>
      <w:r>
        <w:rPr>
          <w:b/>
          <w:bCs/>
        </w:rPr>
        <w:t xml:space="preserve">accuracy at 5.5× less runtime and 4× less memory</w:t>
      </w:r>
      <w:r>
        <w:t xml:space="preserve"> </w:t>
      </w:r>
      <w:r>
        <w:t xml:space="preserve">(21 vs 81 GB). Everything cheaper — knn,</w:t>
      </w:r>
      <w:r>
        <w:t xml:space="preserve"> </w:t>
      </w:r>
      <w:r>
        <w:t xml:space="preserve">logistic_regression, naive_bayes, scTOP — is less accurate, and the one heavyweight is slower</w:t>
      </w:r>
      <w:r>
        <w:t xml:space="preserve"> </w:t>
      </w:r>
      <w:r>
        <w:t xml:space="preserve">and heavier. Nothing here beats it on accuracy and cost together.</w:t>
      </w:r>
    </w:p>
    <w:p>
      <w:pPr>
        <w:pStyle w:val="BodyText"/>
      </w:pPr>
      <w:r>
        <w:rPr>
          <w:b/>
          <w:bCs/>
        </w:rPr>
        <w:t xml:space="preserve">The tuned linear pipeline loses its §3.1 advantage on both axes.</w:t>
      </w:r>
      <w:r>
        <w:t xml:space="preserve"> </w:t>
      </w:r>
      <w:r>
        <w:t xml:space="preserve">It places third on</w:t>
      </w:r>
      <w:r>
        <w:t xml:space="preserve"> </w:t>
      </w:r>
      <w:r>
        <w:t xml:space="preserve">accuracy (0.828, behind</w:t>
      </w:r>
      <w:r>
        <w:t xml:space="preserve"> </w:t>
      </w:r>
      <w:r>
        <w:rPr>
          <w:rStyle w:val="VerbatimChar"/>
        </w:rPr>
        <w:t xml:space="preserve">mlp</w:t>
      </w:r>
      <w:r>
        <w:t xml:space="preserve"> </w:t>
      </w:r>
      <w:r>
        <w:t xml:space="preserve">and actinn-jax), and where it fits 7×</w:t>
      </w:r>
      <w:r>
        <w:t xml:space="preserve"> </w:t>
      </w:r>
      <w:r>
        <w:rPr>
          <w:i/>
          <w:iCs/>
        </w:rPr>
        <w:t xml:space="preserve">faster</w:t>
      </w:r>
      <w:r>
        <w:t xml:space="preserve"> </w:t>
      </w:r>
      <w:r>
        <w:t xml:space="preserve">than actinn-jax</w:t>
      </w:r>
      <w:r>
        <w:t xml:space="preserve"> </w:t>
      </w:r>
      <w:r>
        <w:t xml:space="preserve">on the in-house panel it costs</w:t>
      </w:r>
      <w:r>
        <w:t xml:space="preserve"> </w:t>
      </w:r>
      <w:r>
        <w:rPr>
          <w:b/>
          <w:bCs/>
        </w:rPr>
        <w:t xml:space="preserve">2.7× more</w:t>
      </w:r>
      <w:r>
        <w:t xml:space="preserve"> </w:t>
      </w:r>
      <w:r>
        <w:t xml:space="preserve">here. The input budget explains the reversal: OP</w:t>
      </w:r>
      <w:r>
        <w:t xml:space="preserve"> </w:t>
      </w:r>
      <w:r>
        <w:t xml:space="preserve">hands every method 1,000 HVGs, and an ANOVA→PCA→logistic pipeline pays for the decomposition</w:t>
      </w:r>
      <w:r>
        <w:t xml:space="preserve"> </w:t>
      </w:r>
      <w:r>
        <w:t xml:space="preserve">on every query while a gene-space MLP amortizes it into one fit. CellTypist (7.6×) and the</w:t>
      </w:r>
      <w:r>
        <w:t xml:space="preserve"> </w:t>
      </w:r>
      <w:r>
        <w:t xml:space="preserve">SGD-SVM (6.1×) shift the same way. Neither a cost ranking nor an accuracy ranking survives a</w:t>
      </w:r>
      <w:r>
        <w:t xml:space="preserve"> </w:t>
      </w:r>
      <w:r>
        <w:t xml:space="preserve">change of feature budget — which is why we report both panels rather than picking</w:t>
      </w:r>
      <w:r>
        <w:t xml:space="preserve"> </w:t>
      </w:r>
      <w:r>
        <w:t xml:space="preserve">one.</w:t>
      </w:r>
    </w:p>
    <w:p>
      <w:pPr>
        <w:pStyle w:val="BodyText"/>
      </w:pPr>
      <w:r>
        <w:rPr>
          <w:rStyle w:val="VerbatimChar"/>
        </w:rPr>
        <w:t xml:space="preserve">logistic_regression</w:t>
      </w:r>
      <w:r>
        <w:t xml:space="preserve"> </w:t>
      </w:r>
      <w:r>
        <w:t xml:space="preserve">places fifth on accuracy but first on macro-F1 (0.689), at the</w:t>
      </w:r>
      <w:r>
        <w:t xml:space="preserve"> </w:t>
      </w:r>
      <w:r>
        <w:t xml:space="preserve">second-lowest cost. Across datasets spanning 13 to 160 cell types, accuracy</w:t>
      </w:r>
      <w:r>
        <w:t xml:space="preserve"> </w:t>
      </w:r>
      <w:r>
        <w:t xml:space="preserve">and macro-F1 do not order the panel the same way.</w:t>
      </w:r>
    </w:p>
    <w:p>
      <w:pPr>
        <w:pStyle w:val="BodyText"/>
      </w:pPr>
      <w:r>
        <w:rPr>
          <w:b/>
          <w:bCs/>
        </w:rPr>
        <w:t xml:space="preserve">scTOP collapses on two of the six and is weak on a third.</w:t>
      </w:r>
      <w:r>
        <w:t xml:space="preserve"> </w:t>
      </w:r>
      <w:r>
        <w:t xml:space="preserve">Its mean (0.581) is not a</w:t>
      </w:r>
      <w:r>
        <w:t xml:space="preserve"> </w:t>
      </w:r>
      <w:r>
        <w:t xml:space="preserve">uniformly weak result but 0.042 on tabula_sapiens, 0.124 on gtex_v9 and 0.495 on</w:t>
      </w:r>
      <w:r>
        <w:t xml:space="preserve"> </w:t>
      </w:r>
      <w:r>
        <w:t xml:space="preserve">immune_cell_atlas against 0.90–0.99 on the other three. Open Problems hands every method 1,000</w:t>
      </w:r>
      <w:r>
        <w:t xml:space="preserve"> </w:t>
      </w:r>
      <w:r>
        <w:t xml:space="preserve">HVGs, and scTOP’s rank projection needs genes expressed in an appreciable fraction of cells;</w:t>
      </w:r>
      <w:r>
        <w:t xml:space="preserve"> </w:t>
      </w:r>
      <w:r>
        <w:t xml:space="preserve">after its expression filter only</w:t>
      </w:r>
      <w:r>
        <w:t xml:space="preserve"> </w:t>
      </w:r>
      <w:r>
        <w:rPr>
          <w:b/>
          <w:bCs/>
        </w:rPr>
        <w:t xml:space="preserve">106 of 1,000</w:t>
      </w:r>
      <w:r>
        <w:t xml:space="preserve"> </w:t>
      </w:r>
      <w:r>
        <w:t xml:space="preserve">genes survive on gtex_v9 and 210 on</w:t>
      </w:r>
      <w:r>
        <w:t xml:space="preserve"> </w:t>
      </w:r>
      <w:r>
        <w:t xml:space="preserve">tabula_sapiens, against 306–405 where it works. At that point some test cells retain no</w:t>
      </w:r>
      <w:r>
        <w:t xml:space="preserve"> </w:t>
      </w:r>
      <w:r>
        <w:t xml:space="preserve">counts at all — 185 of 11,508 on gtex_v9 — and cannot be placed; they are scored as wrong</w:t>
      </w:r>
      <w:r>
        <w:t xml:space="preserve"> </w:t>
      </w:r>
      <w:r>
        <w:t xml:space="preserve">rather than dropped, so 0.124 is a floor. This is the same limitation §3.1 reports from the</w:t>
      </w:r>
      <w:r>
        <w:t xml:space="preserve"> </w:t>
      </w:r>
      <w:r>
        <w:t xml:space="preserve">other direction: scTOP is built for small, low-cardinality problems, and a fixed 1,000-HVG</w:t>
      </w:r>
      <w:r>
        <w:t xml:space="preserve"> </w:t>
      </w:r>
      <w:r>
        <w:t xml:space="preserve">budget over 53 and 160 types is neither.</w:t>
      </w:r>
    </w:p>
    <w:p>
      <w:pPr>
        <w:pStyle w:val="BodyText"/>
      </w:pPr>
      <w:r>
        <w:rPr>
          <w:b/>
          <w:bCs/>
        </w:rPr>
        <w:t xml:space="preserve">Three cheap ablations, and their limits.</w:t>
      </w:r>
      <w:r>
        <w:t xml:space="preserve"> </w:t>
      </w:r>
      <w:r>
        <w:t xml:space="preserve">(i)</w:t>
      </w:r>
      <w:r>
        <w:t xml:space="preserve"> </w:t>
      </w:r>
      <w:r>
        <w:rPr>
          <w:i/>
          <w:iCs/>
        </w:rPr>
        <w:t xml:space="preserve">Input standardization</w:t>
      </w:r>
      <w:r>
        <w:t xml:space="preserve"> </w:t>
      </w:r>
      <w:r>
        <w:t xml:space="preserve">— z-scoring</w:t>
      </w:r>
      <w:r>
        <w:t xml:space="preserve"> </w:t>
      </w:r>
      <w:r>
        <w:t xml:space="preserve">genes to the reference’s frozen mean/std, a CPU-only domain-alignment inspired by scArches</w:t>
      </w:r>
      <w:r>
        <w:t xml:space="preserve"> </w:t>
      </w:r>
      <w:r>
        <w:t xml:space="preserve">reference surgery — lifts mean accuracy +0.2 and macro-F1 +1.2 pt (largest on batch-shifted</w:t>
      </w:r>
      <w:r>
        <w:t xml:space="preserve"> </w:t>
      </w:r>
      <w:r>
        <w:t xml:space="preserve">datasets: gtex macro-F1 +7.9). It is</w:t>
      </w:r>
      <w:r>
        <w:t xml:space="preserve"> </w:t>
      </w:r>
      <w:r>
        <w:rPr>
          <w:b/>
          <w:bCs/>
        </w:rPr>
        <w:t xml:space="preserve">off by default</w:t>
      </w:r>
      <w:r>
        <w:t xml:space="preserve"> </w:t>
      </w:r>
      <w:r>
        <w:t xml:space="preserve">because it</w:t>
      </w:r>
      <w:r>
        <w:t xml:space="preserve"> </w:t>
      </w:r>
      <w:r>
        <w:t xml:space="preserve">shifts the softmax calibration that the two-stage abstain thresholds are tuned against.</w:t>
      </w:r>
      <w:r>
        <w:t xml:space="preserve"> </w:t>
      </w:r>
      <w:r>
        <w:t xml:space="preserve">(ii)</w:t>
      </w:r>
      <w:r>
        <w:t xml:space="preserve"> </w:t>
      </w:r>
      <w:r>
        <w:rPr>
          <w:i/>
          <w:iCs/>
        </w:rPr>
        <w:t xml:space="preserve">Gene budget</w:t>
      </w:r>
      <w:r>
        <w:t xml:space="preserve"> </w:t>
      </w:r>
      <w:r>
        <w:t xml:space="preserve">— OP feeds every method 1000 HVGs, which starves a gene-space MLP more</w:t>
      </w:r>
      <w:r>
        <w:t xml:space="preserve"> </w:t>
      </w:r>
      <w:r>
        <w:t xml:space="preserve">than it starves the others.</w:t>
      </w:r>
      <w:r>
        <w:t xml:space="preserve"> </w:t>
      </w:r>
      <w:r>
        <w:t xml:space="preserve">Widening to ~5000 HVGs lifts accuracy on 4 of 6 datasets (immune/gtex +3 pt) and there</w:t>
      </w:r>
      <w:r>
        <w:t xml:space="preserve"> </w:t>
      </w:r>
      <w:r>
        <w:rPr>
          <w:b/>
          <w:bCs/>
        </w:rPr>
        <w:t xml:space="preserve">matches scANVI+scArches’s full-config leaderboard accuracy</w:t>
      </w:r>
      <w:r>
        <w:t xml:space="preserve"> </w:t>
      </w:r>
      <w:r>
        <w:t xml:space="preserve">(immune 0.891 ≈ 0.892) on CPU</w:t>
      </w:r>
      <w:r>
        <w:t xml:space="preserve"> </w:t>
      </w:r>
      <w:r>
        <w:t xml:space="preserve">in minutes — the gap to the top method was largely a gene-budget artifact, not the VAE. But</w:t>
      </w:r>
      <w:r>
        <w:t xml:space="preserve"> </w:t>
      </w:r>
      <w:r>
        <w:t xml:space="preserve">more genes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universal win: it</w:t>
      </w:r>
      <w:r>
        <w:t xml:space="preserve"> </w:t>
      </w:r>
      <w:r>
        <w:rPr>
          <w:i/>
          <w:iCs/>
        </w:rPr>
        <w:t xml:space="preserve">regresses</w:t>
      </w:r>
      <w:r>
        <w:t xml:space="preserve"> </w:t>
      </w:r>
      <w:r>
        <w:t xml:space="preserve">tabula_sapiens by ~10 pt (its</w:t>
      </w:r>
      <w:r>
        <w:t xml:space="preserve"> </w:t>
      </w:r>
      <w:r>
        <w:t xml:space="preserve">284-cell test batch across 160 fine types overfits reference-specific genes) and saturates</w:t>
      </w:r>
      <w:r>
        <w:t xml:space="preserve"> </w:t>
      </w:r>
      <w:r>
        <w:t xml:space="preserve">hypomap (Figure 9). The budget is</w:t>
      </w:r>
      <w:r>
        <w:t xml:space="preserve"> </w:t>
      </w:r>
      <w:r>
        <w:rPr>
          <w:b/>
          <w:bCs/>
        </w:rPr>
        <w:t xml:space="preserve">selectable without test labels</w:t>
      </w:r>
      <w:r>
        <w:t xml:space="preserve">: held-out</w:t>
      </w:r>
      <w:r>
        <w:t xml:space="preserve"> </w:t>
      </w:r>
      <w:r>
        <w:rPr>
          <w:i/>
          <w:iCs/>
        </w:rPr>
        <w:t xml:space="preserve">reference</w:t>
      </w:r>
      <w:r>
        <w:t xml:space="preserve"> </w:t>
      </w:r>
      <w:r>
        <w:t xml:space="preserve">cross-validation rises for the</w:t>
      </w:r>
      <w:r>
        <w:t xml:space="preserve"> </w:t>
      </w:r>
      <w:r>
        <w:t xml:space="preserve">datasets that benefit and is the one signal that</w:t>
      </w:r>
      <w:r>
        <w:t xml:space="preserve"> </w:t>
      </w:r>
      <w:r>
        <w:rPr>
          <w:i/>
          <w:iCs/>
        </w:rPr>
        <w:t xml:space="preserve">drops</w:t>
      </w:r>
      <w:r>
        <w:t xml:space="preserve"> </w:t>
      </w:r>
      <w:r>
        <w:t xml:space="preserve">for tabula_sapiens, and a trivial</w:t>
      </w:r>
      <w:r>
        <w:t xml:space="preserve"> </w:t>
      </w:r>
      <w:r>
        <w:t xml:space="preserve">query-cells-per-class check independently flags it (Figure 10) —</w:t>
      </w:r>
      <w:r>
        <w:t xml:space="preserve"> </w:t>
      </w:r>
      <w:r>
        <w:t xml:space="preserve">so the budget can be set deterministically per dataset. (iii)</w:t>
      </w:r>
      <w:r>
        <w:t xml:space="preserve"> </w:t>
      </w:r>
      <w:r>
        <w:rPr>
          <w:i/>
          <w:iCs/>
        </w:rPr>
        <w:t xml:space="preserve">Negative control</w:t>
      </w:r>
      <w:r>
        <w:t xml:space="preserve"> </w:t>
      </w:r>
      <w:r>
        <w:t xml:space="preserve">— a</w:t>
      </w:r>
      <w:r>
        <w:t xml:space="preserve"> </w:t>
      </w:r>
      <w:r>
        <w:t xml:space="preserve">CPU-only, UCE-style protein-embedding featurization (expression-weighted mean of ESM2 gene</w:t>
      </w:r>
      <w:r>
        <w:t xml:space="preserve"> </w:t>
      </w:r>
      <w:r>
        <w:t xml:space="preserve">embeddings)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help and hurts the hardest case: the pooling discards the per-gene</w:t>
      </w:r>
      <w:r>
        <w:t xml:space="preserve"> </w:t>
      </w:r>
      <w:r>
        <w:t xml:space="preserve">detail that separates fine types, so the value of a foundation model like UCE stays locked</w:t>
      </w:r>
      <w:r>
        <w:t xml:space="preserve"> </w:t>
      </w:r>
      <w:r>
        <w:t xml:space="preserve">in its GPU transformer, not a portable averaging trick.</w:t>
      </w:r>
    </w:p>
    <w:p>
      <w:pPr>
        <w:pStyle w:val="BodyText"/>
      </w:pPr>
      <w:r>
        <w:drawing>
          <wp:inline>
            <wp:extent cx="5334000" cy="2139510"/>
            <wp:effectExtent b="0" l="0" r="0" t="0"/>
            <wp:docPr descr="gene budget curve" title="" id="81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gene_budget_curve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95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9.</w:t>
      </w:r>
      <w:r>
        <w:t xml:space="preserve"> </w:t>
      </w:r>
      <w:r>
        <w:t xml:space="preserve">actinn-jax accuracy and macro-F1 against input gene budget across all six Open</w:t>
      </w:r>
      <w:r>
        <w:t xml:space="preserve"> </w:t>
      </w:r>
      <w:r>
        <w:t xml:space="preserve">Problems datasets. More genes help most datasets but regress the fine-grained,</w:t>
      </w:r>
      <w:r>
        <w:t xml:space="preserve"> </w:t>
      </w:r>
      <w:r>
        <w:t xml:space="preserve">domain-shifted tabula_sapiens.</w:t>
      </w:r>
    </w:p>
    <w:p>
      <w:pPr>
        <w:pStyle w:val="BodyText"/>
      </w:pPr>
      <w:r>
        <w:drawing>
          <wp:inline>
            <wp:extent cx="5334000" cy="2293972"/>
            <wp:effectExtent b="0" l="0" r="0" t="0"/>
            <wp:docPr descr="gene budget signals" title="" id="84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gene_budget_signals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9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10.</w:t>
      </w:r>
      <w:r>
        <w:t xml:space="preserve"> </w:t>
      </w:r>
      <w:r>
        <w:t xml:space="preserve">Label-free signals for setting the gene budget without test labels. Held-out</w:t>
      </w:r>
      <w:r>
        <w:t xml:space="preserve"> </w:t>
      </w:r>
      <w:r>
        <w:t xml:space="preserve">reference cross-validation and query-cells-per-class both single out tabula_sapiens, the one</w:t>
      </w:r>
      <w:r>
        <w:t xml:space="preserve"> </w:t>
      </w:r>
      <w:r>
        <w:t xml:space="preserve">dataset where more genes cost real accuracy — about 10 points. hypomap drifts down as well,</w:t>
      </w:r>
      <w:r>
        <w:t xml:space="preserve"> </w:t>
      </w:r>
      <w:r>
        <w:t xml:space="preserve">but from a saturated 0.998, and neither signal flags it.</w:t>
      </w:r>
    </w:p>
    <w:bookmarkEnd w:id="86"/>
    <w:bookmarkEnd w:id="87"/>
    <w:bookmarkStart w:id="89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rPr>
          <w:b/>
          <w:bCs/>
        </w:rPr>
        <w:t xml:space="preserve">Method choice is now dominated by cost, not accuracy.</w:t>
      </w:r>
      <w:r>
        <w:t xml:space="preserve"> </w:t>
      </w:r>
      <w:r>
        <w:t xml:space="preserve">The four leading methods are</w:t>
      </w:r>
      <w:r>
        <w:t xml:space="preserve"> </w:t>
      </w:r>
      <w:r>
        <w:t xml:space="preserve">separated by 0.008 in mean accuracy and by ~205× in predict time (§3.1), so for most</w:t>
      </w:r>
      <w:r>
        <w:t xml:space="preserve"> </w:t>
      </w:r>
      <w:r>
        <w:t xml:space="preserve">annotation jobs the decision is made on the cost axes. On laptop-sized references the tuned</w:t>
      </w:r>
      <w:r>
        <w:t xml:space="preserve"> </w:t>
      </w:r>
      <w:r>
        <w:t xml:space="preserve">linear pipeline is the best of them on accuracy-per-second (0.839, fitting in 3.0 s); at</w:t>
      </w:r>
      <w:r>
        <w:t xml:space="preserve"> </w:t>
      </w:r>
      <w:r>
        <w:t xml:space="preserve">atlas scale ProtoCloud is the most accurate by a clear margin (0.976 vs 0.936 at 49k lung</w:t>
      </w:r>
      <w:r>
        <w:t xml:space="preserve"> </w:t>
      </w:r>
      <w:r>
        <w:t xml:space="preserve">cells; 0.905 vs 0.824 at 47k liver cells), having been below the cluster on the subsampled</w:t>
      </w:r>
      <w:r>
        <w:t xml:space="preserve"> </w:t>
      </w:r>
      <w:r>
        <w:t xml:space="preserve">matrix. actinn-jax’s place in that picture rests on a cost profile with two properties that</w:t>
      </w:r>
      <w:r>
        <w:t xml:space="preserve"> </w:t>
      </w:r>
      <w:r>
        <w:t xml:space="preserve">matter for repeated use rather than for a single labeling run.</w:t>
      </w:r>
    </w:p>
    <w:p>
      <w:pPr>
        <w:pStyle w:val="BodyText"/>
      </w:pPr>
      <w:r>
        <w:rPr>
          <w:i/>
          <w:iCs/>
        </w:rPr>
        <w:t xml:space="preserve">Footprint.</w:t>
      </w:r>
      <w:r>
        <w:t xml:space="preserve"> </w:t>
      </w:r>
      <w:r>
        <w:t xml:space="preserve">Inference is</w:t>
      </w:r>
      <w:r>
        <w:t xml:space="preserve"> </w:t>
      </w:r>
      <w:r>
        <w:rPr>
          <w:b/>
          <w:bCs/>
        </w:rPr>
        <w:t xml:space="preserve">sub-second</w:t>
      </w:r>
      <w:r>
        <w:t xml:space="preserve"> </w:t>
      </w:r>
      <w:r>
        <w:t xml:space="preserve">— flat in reference size, and rising 3.2× with</w:t>
      </w:r>
      <w:r>
        <w:t xml:space="preserve"> </w:t>
      </w:r>
      <w:r>
        <w:t xml:space="preserve">cardinality while staying under a third of a second (§3.3) — so a query costs the same</w:t>
      </w:r>
      <w:r>
        <w:t xml:space="preserve"> </w:t>
      </w:r>
      <w:r>
        <w:t xml:space="preserve">against a 1k-cell reference and a 49k-cell</w:t>
      </w:r>
      <w:r>
        <w:t xml:space="preserve"> </w:t>
      </w:r>
      <w:r>
        <w:t xml:space="preserve">one. Peak memory is unremarkable on small references (2.4 GB mean — seven of the ten other</w:t>
      </w:r>
      <w:r>
        <w:t xml:space="preserve"> </w:t>
      </w:r>
      <w:r>
        <w:t xml:space="preserve">methods are lighter), but it is the lowest of those we carried to</w:t>
      </w:r>
      <w:r>
        <w:t xml:space="preserve"> </w:t>
      </w:r>
      <w:r>
        <w:rPr>
          <w:b/>
          <w:bCs/>
        </w:rPr>
        <w:t xml:space="preserve">atlas scale</w:t>
      </w:r>
      <w:r>
        <w:t xml:space="preserve">:</w:t>
      </w:r>
      <w:r>
        <w:t xml:space="preserve"> </w:t>
      </w:r>
      <w:r>
        <w:t xml:space="preserve">~2× below the linear pipeline (6.1 vs 13.2 GB at 49k lung cells; 6.5 vs 12.6 GB at 47k liver</w:t>
      </w:r>
      <w:r>
        <w:t xml:space="preserve"> </w:t>
      </w:r>
      <w:r>
        <w:t xml:space="preserve">cells), and below scTOP above ~25k cells, where scTOP’s rank processing densifies and crosses</w:t>
      </w:r>
      <w:r>
        <w:t xml:space="preserve"> </w:t>
      </w:r>
      <w:r>
        <w:t xml:space="preserve">over (9.3 vs 6.5 GB at 47k). The advantage is bounded at ~2–3× rather than widening. Combined</w:t>
      </w:r>
      <w:r>
        <w:t xml:space="preserve"> </w:t>
      </w:r>
      <w:r>
        <w:t xml:space="preserve">with the train-once/map-many cache, a reused reference pays fit once and then only the flat</w:t>
      </w:r>
      <w:r>
        <w:t xml:space="preserve"> </w:t>
      </w:r>
      <w:r>
        <w:t xml:space="preserve">predict cost, where the linear pipeline refits scaler/PCA/classifier for every query.</w:t>
      </w:r>
    </w:p>
    <w:p>
      <w:pPr>
        <w:pStyle w:val="BodyText"/>
      </w:pPr>
      <w:r>
        <w:rPr>
          <w:i/>
          <w:iCs/>
        </w:rPr>
        <w:t xml:space="preserve">Those two properties are what the workflows are built on.</w:t>
      </w:r>
      <w:r>
        <w:t xml:space="preserve"> </w:t>
      </w:r>
      <w:r>
        <w:t xml:space="preserve">The practical gains come not from</w:t>
      </w:r>
      <w:r>
        <w:t xml:space="preserve"> </w:t>
      </w:r>
      <w:r>
        <w:t xml:space="preserve">the flat classifier but from the</w:t>
      </w:r>
      <w:r>
        <w:t xml:space="preserve"> </w:t>
      </w:r>
      <w:r>
        <w:rPr>
          <w:b/>
          <w:bCs/>
        </w:rPr>
        <w:t xml:space="preserve">broad→focused</w:t>
      </w:r>
      <w:r>
        <w:t xml:space="preserve"> </w:t>
      </w:r>
      <w:r>
        <w:t xml:space="preserve">pipeline (§3.4): a census-scale broad model</w:t>
      </w:r>
      <w:r>
        <w:t xml:space="preserve"> </w:t>
      </w:r>
      <w:r>
        <w:t xml:space="preserve">with a calibrated abstain routes a query to a small focused reference that re-annotates at</w:t>
      </w:r>
      <w:r>
        <w:t xml:space="preserve"> </w:t>
      </w:r>
      <w:r>
        <w:t xml:space="preserve">full resolution (cross-study liver 0.23/0.58 → 0.72/0.86), with zonation as a further stage.</w:t>
      </w:r>
      <w:r>
        <w:t xml:space="preserve"> </w:t>
      </w:r>
      <w:r>
        <w:t xml:space="preserve">The pipeline is only usable because each hop is cheap — a flat sub-second call against a</w:t>
      </w:r>
      <w:r>
        <w:t xml:space="preserve"> </w:t>
      </w:r>
      <w:r>
        <w:t xml:space="preserve">cached model, at bounded memory — so several models can be chained, and a large reference</w:t>
      </w:r>
      <w:r>
        <w:t xml:space="preserve"> </w:t>
      </w:r>
      <w:r>
        <w:t xml:space="preserve">kept resident, on a laptop without a GPU. A method that is a few points more accurate but</w:t>
      </w:r>
      <w:r>
        <w:t xml:space="preserve"> </w:t>
      </w:r>
      <w:r>
        <w:t xml:space="preserve">pays a full fit per query, or a multi-gigabyte dense expansion per stage, does not compose the</w:t>
      </w:r>
      <w:r>
        <w:t xml:space="preserve"> </w:t>
      </w:r>
      <w:r>
        <w:t xml:space="preserve">same way.</w:t>
      </w:r>
    </w:p>
    <w:p>
      <w:pPr>
        <w:pStyle w:val="BodyText"/>
      </w:pPr>
      <w:r>
        <w:rPr>
          <w:i/>
          <w:iCs/>
        </w:rPr>
        <w:t xml:space="preserve">Where it loses, and why.</w:t>
      </w:r>
      <w:r>
        <w:t xml:space="preserve"> </w:t>
      </w:r>
      <w:r>
        <w:t xml:space="preserve">Much of what looked like a deficit of the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on Open Problems</w:t>
      </w:r>
      <w:r>
        <w:t xml:space="preserve"> </w:t>
      </w:r>
      <w:r>
        <w:t xml:space="preserve">was a deficit of its</w:t>
      </w:r>
      <w:r>
        <w:t xml:space="preserve"> </w:t>
      </w:r>
      <w:r>
        <w:rPr>
          <w:b/>
          <w:bCs/>
        </w:rPr>
        <w:t xml:space="preserve">input</w:t>
      </w:r>
      <w:r>
        <w:t xml:space="preserve">. The benchmark hands every method 1,000 highly variable genes,</w:t>
      </w:r>
      <w:r>
        <w:t xml:space="preserve"> </w:t>
      </w:r>
      <w:r>
        <w:t xml:space="preserve">a far harsher constraint on a model reading gene space directly than on one that learns a</w:t>
      </w:r>
      <w:r>
        <w:t xml:space="preserve"> </w:t>
      </w:r>
      <w:r>
        <w:t xml:space="preserve">compressed representation first, and at a fair gene budget the gene-space MLP</w:t>
      </w:r>
      <w:r>
        <w:t xml:space="preserve"> </w:t>
      </w:r>
      <w:r>
        <w:rPr>
          <w:i/>
          <w:iCs/>
        </w:rPr>
        <w:t xml:space="preserve">matches the</w:t>
      </w:r>
      <w:r>
        <w:rPr>
          <w:i/>
          <w:iCs/>
        </w:rPr>
        <w:t xml:space="preserve"> </w:t>
      </w:r>
      <w:r>
        <w:rPr>
          <w:i/>
          <w:iCs/>
        </w:rPr>
        <w:t xml:space="preserve">leaderboard’s top method</w:t>
      </w:r>
      <w:r>
        <w:t xml:space="preserve"> </w:t>
      </w:r>
      <w:r>
        <w:t xml:space="preserve">on the datasets both complete. Widen the gene panel and most of the</w:t>
      </w:r>
      <w:r>
        <w:t xml:space="preserve"> </w:t>
      </w:r>
      <w:r>
        <w:t xml:space="preserve">gap closes, so the quantity being measured was partly</w:t>
      </w:r>
      <w:r>
        <w:t xml:space="preserve"> </w:t>
      </w:r>
      <w:r>
        <w:t xml:space="preserve">“how well does each method tolerate a</w:t>
      </w:r>
      <w:r>
        <w:t xml:space="preserve"> </w:t>
      </w:r>
      <w:r>
        <w:t xml:space="preserve">narrow input”</w:t>
      </w:r>
      <w:r>
        <w:t xml:space="preserve">, not</w:t>
      </w:r>
      <w:r>
        <w:t xml:space="preserve"> </w:t>
      </w:r>
      <w:r>
        <w:t xml:space="preserve">“which model class is stronger”</w:t>
      </w:r>
      <w:r>
        <w:t xml:space="preserve">.</w:t>
      </w:r>
    </w:p>
    <w:p>
      <w:pPr>
        <w:pStyle w:val="BodyText"/>
      </w:pPr>
      <w:r>
        <w:t xml:space="preserve">The genuine weaknesses are narrower. actinn-jax trails on small references and</w:t>
      </w:r>
      <w:r>
        <w:t xml:space="preserve"> </w:t>
      </w:r>
      <w:r>
        <w:t xml:space="preserve">very-few-cells-per-type sets (§3.1, §5), and it is sensitive to input budget under domain</w:t>
      </w:r>
      <w:r>
        <w:t xml:space="preserve"> </w:t>
      </w:r>
      <w:r>
        <w:t xml:space="preserve">shift: more genes help most datasets but overfit a tiny, fine-grained, shifted query</w:t>
      </w:r>
      <w:r>
        <w:t xml:space="preserve"> </w:t>
      </w:r>
      <w:r>
        <w:t xml:space="preserve">(tabula_sapiens). The two cheapest levers are principled and label-free —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 </w:t>
      </w:r>
      <w:r>
        <w:t xml:space="preserve">(a scArches-style domain alignment) and a</w:t>
      </w:r>
      <w:r>
        <w:t xml:space="preserve"> </w:t>
      </w:r>
      <w:r>
        <w:rPr>
          <w:b/>
          <w:bCs/>
        </w:rPr>
        <w:t xml:space="preserve">gene budget chosen by cross-validation on the</w:t>
      </w:r>
      <w:r>
        <w:rPr>
          <w:b/>
          <w:bCs/>
        </w:rPr>
        <w:t xml:space="preserve"> </w:t>
      </w:r>
      <w:r>
        <w:rPr>
          <w:b/>
          <w:bCs/>
        </w:rPr>
        <w:t xml:space="preserve">reference alone</w:t>
      </w:r>
      <w:r>
        <w:t xml:space="preserve"> </w:t>
      </w:r>
      <w:r>
        <w:t xml:space="preserve">— and neither peeks at test labels.</w:t>
      </w:r>
    </w:p>
    <w:p>
      <w:pPr>
        <w:pStyle w:val="BodyText"/>
      </w:pPr>
      <w:r>
        <w:rPr>
          <w:i/>
          <w:iCs/>
        </w:rPr>
        <w:t xml:space="preserve">Foundation models.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zero-shot labels</w:t>
      </w:r>
      <w:r>
        <w:t xml:space="preserve"> </w:t>
      </w:r>
      <w:r>
        <w:t xml:space="preserve">are the weakest option in both benchmarks</w:t>
      </w:r>
      <w:r>
        <w:t xml:space="preserve"> </w:t>
      </w:r>
      <w:r>
        <w:t xml:space="preserve">(scPRINT, scGPT, UCE ≈ random); their</w:t>
      </w:r>
      <w:r>
        <w:t xml:space="preserve"> </w:t>
      </w:r>
      <w:r>
        <w:rPr>
          <w:b/>
          <w:bCs/>
        </w:rPr>
        <w:t xml:space="preserve">embeddings/structure</w:t>
      </w:r>
      <w:r>
        <w:t xml:space="preserve"> </w:t>
      </w:r>
      <w:r>
        <w:t xml:space="preserve">are where the value lies, and</w:t>
      </w:r>
      <w:r>
        <w:t xml:space="preserve"> </w:t>
      </w:r>
      <w:r>
        <w:t xml:space="preserve">our two-stage hierarchy uses exactly that. A cheap CPU shortcut to a foundation-model</w:t>
      </w:r>
      <w:r>
        <w:t xml:space="preserve"> </w:t>
      </w:r>
      <w:r>
        <w:t xml:space="preserve">representation (protein-embedding pooling)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transfer (§3.7), underscoring that the</w:t>
      </w:r>
      <w:r>
        <w:t xml:space="preserve"> </w:t>
      </w:r>
      <w:r>
        <w:t xml:space="preserve">value is in the trained transformer, not a portable trick. The concurrent</w:t>
      </w:r>
      <w:r>
        <w:t xml:space="preserve"> </w:t>
      </w:r>
      <w:r>
        <w:rPr>
          <w:b/>
          <w:bCs/>
        </w:rPr>
        <w:t xml:space="preserve">Pan-human</w:t>
      </w:r>
      <w:r>
        <w:rPr>
          <w:b/>
          <w:bCs/>
        </w:rPr>
        <w:t xml:space="preserve"> </w:t>
      </w:r>
      <w:r>
        <w:rPr>
          <w:b/>
          <w:bCs/>
        </w:rPr>
        <w:t xml:space="preserve">Azimuth</w:t>
      </w:r>
      <w:r>
        <w:t xml:space="preserve"> </w:t>
      </w:r>
      <w:r>
        <w:t xml:space="preserve">effort reaches the same conclusion from a far larger curated corpus. Their</w:t>
      </w:r>
      <w:r>
        <w:t xml:space="preserve"> </w:t>
      </w:r>
      <w:r>
        <w:t xml:space="preserve">7M-parameter supervised hierarchical MLP over a 5,055-gene panel yields cleaner annotations</w:t>
      </w:r>
      <w:r>
        <w:t xml:space="preserve"> </w:t>
      </w:r>
      <w:r>
        <w:t xml:space="preserve">than scGPT and SCimilarity; they report those models’ labels as fragmented and</w:t>
      </w:r>
      <w:r>
        <w:t xml:space="preserve"> </w:t>
      </w:r>
      <w:r>
        <w:t xml:space="preserve">mis-transferred. Their stated theme — that training-data quality and organization matter as</w:t>
      </w:r>
      <w:r>
        <w:t xml:space="preserve"> </w:t>
      </w:r>
      <w:r>
        <w:t xml:space="preserve">much as architecture or scale — is one of the two claims we draw here, and their finding that</w:t>
      </w:r>
      <w:r>
        <w:t xml:space="preserve"> </w:t>
      </w:r>
      <w:r>
        <w:t xml:space="preserve">accuracy</w:t>
      </w:r>
      <w:r>
        <w:t xml:space="preserve"> </w:t>
      </w:r>
      <w:r>
        <w:rPr>
          <w:b/>
          <w:bCs/>
        </w:rPr>
        <w:t xml:space="preserve">saturates past ~5M training cells</w:t>
      </w:r>
      <w:r>
        <w:t xml:space="preserve"> </w:t>
      </w:r>
      <w:r>
        <w:t xml:space="preserve">supports it further. The other claim, that</w:t>
      </w:r>
      <w:r>
        <w:t xml:space="preserve"> </w:t>
      </w:r>
      <w:r>
        <w:t xml:space="preserve">zero-shot foundation-model labels are the weaker option, they reach independently. Both come</w:t>
      </w:r>
      <w:r>
        <w:t xml:space="preserve"> </w:t>
      </w:r>
      <w:r>
        <w:t xml:space="preserve">from a group with no stake in our conclusion.</w:t>
      </w:r>
    </w:p>
    <w:p>
      <w:pPr>
        <w:pStyle w:val="BodyText"/>
      </w:pPr>
      <w:r>
        <w:rPr>
          <w:i/>
          <w:iCs/>
        </w:rPr>
        <w:t xml:space="preserve">When extra expressivity pays.</w:t>
      </w:r>
      <w:r>
        <w:t xml:space="preserve"> </w:t>
      </w:r>
      <w:r>
        <w:t xml:space="preserve">Two lines of evidence bear on this. First,</w:t>
      </w:r>
      <w:r>
        <w:t xml:space="preserve"> </w:t>
      </w:r>
      <w:r>
        <w:rPr>
          <w:b/>
          <w:bCs/>
        </w:rPr>
        <w:t xml:space="preserve">ProtoCloud</w:t>
      </w:r>
      <w:r>
        <w:t xml:space="preserve"> </w:t>
      </w:r>
      <w:r>
        <w:t xml:space="preserve">—</w:t>
      </w:r>
      <w:r>
        <w:t xml:space="preserve"> </w:t>
      </w:r>
      <w:r>
        <w:t xml:space="preserve">a prototype-based, self-explaining VAE with built-in uncertainty and gene-level attribution,</w:t>
      </w:r>
      <w:r>
        <w:t xml:space="preserve"> </w:t>
      </w:r>
      <w:r>
        <w:t xml:space="preserve">a strictly richer model than ours — does not sit a fixed distance above or below us. Where it</w:t>
      </w:r>
      <w:r>
        <w:t xml:space="preserve"> </w:t>
      </w:r>
      <w:r>
        <w:t xml:space="preserve">lands depends on how much reference data it is given: below the top cluster on the subsampled</w:t>
      </w:r>
      <w:r>
        <w:t xml:space="preserve"> </w:t>
      </w:r>
      <w:r>
        <w:t xml:space="preserve">matrix, ahead on lung, and the strongest method of all at atlas scale (§3.1, §3.3), at ~8× actinn-jax’s CPU fit time (176 vs 22 s mean).</w:t>
      </w:r>
      <w:r>
        <w:t xml:space="preserve"> </w:t>
      </w:r>
      <w:r>
        <w:t xml:space="preserve">The richer model pays off where it has the data to</w:t>
      </w:r>
      <w:r>
        <w:t xml:space="preserve"> </w:t>
      </w:r>
      <w:r>
        <w:t xml:space="preserve">support it, and not before — which is an argument for matching model capacity to reference</w:t>
      </w:r>
      <w:r>
        <w:t xml:space="preserve"> </w:t>
      </w:r>
      <w:r>
        <w:t xml:space="preserve">size, not for preferring small models everywhere. Second, and more broadly,</w:t>
      </w:r>
      <w:r>
        <w:t xml:space="preserve"> </w:t>
      </w:r>
      <w:r>
        <w:t xml:space="preserve">Souza &amp; Mehta</w:t>
      </w:r>
      <w:r>
        <w:t xml:space="preserve"> </w:t>
      </w:r>
      <w:hyperlink r:id="rId88">
        <w:r>
          <w:rPr>
            <w:rStyle w:val="Hyperlink"/>
          </w:rPr>
          <w:t xml:space="preserve">[Souza &amp; Mehta 2026]</w:t>
        </w:r>
      </w:hyperlink>
      <w:r>
        <w:t xml:space="preserve"> </w:t>
      </w:r>
      <w:r>
        <w:t xml:space="preserve">report that</w:t>
      </w:r>
      <w:r>
        <w:t xml:space="preserve"> </w:t>
      </w:r>
      <w:r>
        <w:rPr>
          <w:b/>
          <w:bCs/>
        </w:rPr>
        <w:t xml:space="preserve">parameter-free linear representations</w:t>
      </w:r>
      <w:r>
        <w:t xml:space="preserve"> </w:t>
      </w:r>
      <w:r>
        <w:t xml:space="preserve">match or exceed single-cell foundation models across</w:t>
      </w:r>
      <w:r>
        <w:t xml:space="preserve"> </w:t>
      </w:r>
      <w:r>
        <w:t xml:space="preserve">cross-species transfer, human cell-type classification and disease-state prediction. On</w:t>
      </w:r>
      <w:r>
        <w:t xml:space="preserve"> </w:t>
      </w:r>
      <w:r>
        <w:t xml:space="preserve">Tabula Sapiens 2.0 their normalize→ANOVA→PCA→logistic-regression pipeline reaches mean</w:t>
      </w:r>
      <w:r>
        <w:t xml:space="preserve"> </w:t>
      </w:r>
      <w:r>
        <w:t xml:space="preserve">macro-F1 0.899, against 0.907–0.910 for TranscriptFormer variants. Their explanation is</w:t>
      </w:r>
      <w:r>
        <w:t xml:space="preserve"> </w:t>
      </w:r>
      <w:r>
        <w:t xml:space="preserve">geometric: the biologically realized cell manifold is well approximated by a</w:t>
      </w:r>
      <w:r>
        <w:t xml:space="preserve"> </w:t>
      </w:r>
      <w:r>
        <w:rPr>
          <w:b/>
          <w:bCs/>
        </w:rPr>
        <w:t xml:space="preserve">linear</w:t>
      </w:r>
      <w:r>
        <w:rPr>
          <w:b/>
          <w:bCs/>
        </w:rPr>
        <w:t xml:space="preserve"> </w:t>
      </w:r>
      <w:r>
        <w:rPr>
          <w:b/>
          <w:bCs/>
        </w:rPr>
        <w:t xml:space="preserve">subspace</w:t>
      </w:r>
      <w:r>
        <w:t xml:space="preserve">, so once noise is suppressed performance</w:t>
      </w:r>
      <w:r>
        <w:t xml:space="preserve"> </w:t>
      </w:r>
      <w:r>
        <w:rPr>
          <w:i/>
          <w:iCs/>
        </w:rPr>
        <w:t xml:space="preserve">saturates</w:t>
      </w:r>
      <w:r>
        <w:t xml:space="preserve"> </w:t>
      </w:r>
      <w:r>
        <w:t xml:space="preserve">and extra expressivity buys</w:t>
      </w:r>
      <w:r>
        <w:t xml:space="preserve"> </w:t>
      </w:r>
      <w:r>
        <w:t xml:space="preserve">little. That is a principled account of why a four-layer MLP over normalized gene space stays</w:t>
      </w:r>
      <w:r>
        <w:t xml:space="preserve"> </w:t>
      </w:r>
      <w:r>
        <w:t xml:space="preserve">competitive, and it matches our own finding that the residual gap to heavier methods was mostly</w:t>
      </w:r>
      <w:r>
        <w:t xml:space="preserve"> </w:t>
      </w:r>
      <w:r>
        <w:rPr>
          <w:b/>
          <w:bCs/>
        </w:rPr>
        <w:t xml:space="preserve">the size of the input each method was given rather than the class of model</w:t>
      </w:r>
      <w:r>
        <w:t xml:space="preserve"> </w:t>
      </w:r>
      <w:r>
        <w:t xml:space="preserve">(§3.7). They</w:t>
      </w:r>
      <w:r>
        <w:t xml:space="preserve"> </w:t>
      </w:r>
      <w:r>
        <w:t xml:space="preserve">further find that simple methods hold</w:t>
      </w:r>
      <w:r>
        <w:t xml:space="preserve"> </w:t>
      </w:r>
      <w:r>
        <w:t xml:space="preserve">up</w:t>
      </w:r>
      <w:r>
        <w:t xml:space="preserve"> </w:t>
      </w:r>
      <w:r>
        <w:rPr>
          <w:i/>
          <w:iCs/>
        </w:rPr>
        <w:t xml:space="preserve">best</w:t>
      </w:r>
      <w:r>
        <w:t xml:space="preserve"> </w:t>
      </w:r>
      <w:r>
        <w:t xml:space="preserve">out-of-distribution — on novel cell types and unseen organisms. That matters for the</w:t>
      </w:r>
      <w:r>
        <w:t xml:space="preserve"> </w:t>
      </w:r>
      <w:r>
        <w:t xml:space="preserve">abstain mechanism of §3.5, which is only useful if low confidence tracks genuine novelty</w:t>
      </w:r>
      <w:r>
        <w:t xml:space="preserve"> </w:t>
      </w:r>
      <w:r>
        <w:t xml:space="preserve">rather than model noise. A method that degrades gradually on unfamiliar data still assigns</w:t>
      </w:r>
      <w:r>
        <w:t xml:space="preserve"> </w:t>
      </w:r>
      <w:r>
        <w:t xml:space="preserve">lower confidence to the cells it is getting wrong, so a threshold separates them; a method</w:t>
      </w:r>
      <w:r>
        <w:t xml:space="preserve"> </w:t>
      </w:r>
      <w:r>
        <w:t xml:space="preserve">that degrades abruptly can be confidently wrong, and no threshold helps.</w:t>
      </w:r>
    </w:p>
    <w:p>
      <w:pPr>
        <w:pStyle w:val="BodyText"/>
      </w:pPr>
      <w:r>
        <w:rPr>
          <w:b/>
          <w:bCs/>
        </w:rPr>
        <w:t xml:space="preserve">Practical guidance.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one-off annotation</w:t>
      </w:r>
      <w:r>
        <w:t xml:space="preserve"> </w:t>
      </w:r>
      <w:r>
        <w:t xml:space="preserve">on laptop-sized data, use the</w:t>
      </w:r>
      <w:r>
        <w:t xml:space="preserve"> </w:t>
      </w:r>
      <w:r>
        <w:rPr>
          <w:b/>
          <w:bCs/>
        </w:rPr>
        <w:t xml:space="preserve">tuned</w:t>
      </w:r>
      <w:r>
        <w:rPr>
          <w:b/>
          <w:bCs/>
        </w:rPr>
        <w:t xml:space="preserve"> </w:t>
      </w:r>
      <w:r>
        <w:rPr>
          <w:b/>
          <w:bCs/>
        </w:rPr>
        <w:t xml:space="preserve">linear pipeline</w:t>
      </w:r>
      <w:r>
        <w:t xml:space="preserve"> </w:t>
      </w:r>
      <w:r>
        <w:t xml:space="preserve">(normalize → ANOVA → PCA → logistic regression): it is the most</w:t>
      </w:r>
      <w:r>
        <w:t xml:space="preserve"> </w:t>
      </w:r>
      <w:r>
        <w:t xml:space="preserve">accurate-per-second method here. With a</w:t>
      </w:r>
      <w:r>
        <w:t xml:space="preserve"> </w:t>
      </w:r>
      <w:r>
        <w:rPr>
          <w:b/>
          <w:bCs/>
        </w:rPr>
        <w:t xml:space="preserve">real atlas and time to train</w:t>
      </w:r>
      <w:r>
        <w:t xml:space="preserve">,</w:t>
      </w:r>
      <w:r>
        <w:t xml:space="preserve"> </w:t>
      </w:r>
      <w:r>
        <w:rPr>
          <w:b/>
          <w:bCs/>
        </w:rPr>
        <w:t xml:space="preserve">ProtoCloud</w:t>
      </w:r>
      <w:r>
        <w:t xml:space="preserve"> </w:t>
      </w:r>
      <w:r>
        <w:t xml:space="preserve">is</w:t>
      </w:r>
      <w:r>
        <w:t xml:space="preserve"> </w:t>
      </w:r>
      <w:r>
        <w:t xml:space="preserve">the most accurate method we benchmarked (0.976 at 49k cells), and the GPU it targets makes</w:t>
      </w:r>
      <w:r>
        <w:t xml:space="preserve"> </w:t>
      </w:r>
      <w:r>
        <w:t xml:space="preserve">its 19× CPU fit cost much less punishing in practice.</w:t>
      </w:r>
      <w:r>
        <w:t xml:space="preserve"> </w:t>
      </w:r>
      <w:r>
        <w:rPr>
          <w:b/>
          <w:bCs/>
        </w:rPr>
        <w:t xml:space="preserve">scTOP</w:t>
      </w:r>
      <w:r>
        <w:t xml:space="preserve"> </w:t>
      </w:r>
      <w:r>
        <w:t xml:space="preserve">suits small, low-cardinality</w:t>
      </w:r>
      <w:r>
        <w:t xml:space="preserve"> </w:t>
      </w:r>
      <w:r>
        <w:t xml:space="preserve">problems, where it is by far the cheapest (~1 s) and competitive.</w:t>
      </w:r>
      <w:r>
        <w:t xml:space="preserve"> </w:t>
      </w:r>
      <w:r>
        <w:rPr>
          <w:b/>
          <w:bCs/>
        </w:rPr>
        <w:t xml:space="preserve">actinn-jax</w:t>
      </w:r>
      <w:r>
        <w:t xml:space="preserve"> </w:t>
      </w:r>
      <w:r>
        <w:t xml:space="preserve">fits the</w:t>
      </w:r>
      <w:r>
        <w:t xml:space="preserve"> </w:t>
      </w:r>
      <w:r>
        <w:t xml:space="preserve">cases its cost profile is shaped for: when</w:t>
      </w:r>
      <w:r>
        <w:t xml:space="preserve"> </w:t>
      </w:r>
      <w:r>
        <w:rPr>
          <w:b/>
          <w:bCs/>
        </w:rPr>
        <w:t xml:space="preserve">memory is the binding constraint</w:t>
      </w:r>
      <w:r>
        <w:t xml:space="preserve"> </w:t>
      </w:r>
      <w:r>
        <w:t xml:space="preserve">(~2× lighter</w:t>
      </w:r>
      <w:r>
        <w:t xml:space="preserve"> </w:t>
      </w:r>
      <w:r>
        <w:t xml:space="preserve">than the linear pipeline at scale, with memory-bounded chunked inference), when a reference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reused</w:t>
      </w:r>
      <w:r>
        <w:t xml:space="preserve"> </w:t>
      </w:r>
      <w:r>
        <w:t xml:space="preserve">across many queries (the cached model amortizes the fit), and when the job is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multi-stage workflow</w:t>
      </w:r>
      <w:r>
        <w:t xml:space="preserve"> </w:t>
      </w:r>
      <w:r>
        <w:t xml:space="preserve">rather than a single label — broad→focused hand-off, tissue-aware</w:t>
      </w:r>
      <w:r>
        <w:t xml:space="preserve"> </w:t>
      </w:r>
      <w:r>
        <w:t xml:space="preserve">refinement, calibrated abstain, novel-cell-type screening.</w:t>
      </w:r>
    </w:p>
    <w:p>
      <w:pPr>
        <w:pStyle w:val="BodyText"/>
      </w:pPr>
      <w:r>
        <w:t xml:space="preserve">For the</w:t>
      </w:r>
      <w:r>
        <w:t xml:space="preserve"> </w:t>
      </w:r>
      <w:r>
        <w:rPr>
          <w:b/>
          <w:bCs/>
        </w:rPr>
        <w:t xml:space="preserve">broad pass specifically, prefer a purpose-built pan-human model</w:t>
      </w:r>
      <w:r>
        <w:t xml:space="preserve">:</w:t>
      </w:r>
      <w:r>
        <w:t xml:space="preserve"> </w:t>
      </w:r>
      <w:r>
        <w:rPr>
          <w:b/>
          <w:bCs/>
        </w:rPr>
        <w:t xml:space="preserve">Pan-human</w:t>
      </w:r>
      <w:r>
        <w:rPr>
          <w:b/>
          <w:bCs/>
        </w:rPr>
        <w:t xml:space="preserve"> </w:t>
      </w:r>
      <w:r>
        <w:rPr>
          <w:b/>
          <w:bCs/>
        </w:rPr>
        <w:t xml:space="preserve">Azimuth</w:t>
      </w:r>
      <w:r>
        <w:t xml:space="preserve"> </w:t>
      </w:r>
      <w:r>
        <w:t xml:space="preserve">is a pretrained hierarchical</w:t>
      </w:r>
      <w:r>
        <w:t xml:space="preserve"> </w:t>
      </w:r>
      <w:r>
        <w:t xml:space="preserve">classifier over a harmonized organism-wide typology (8 levels, 382 leaf types, trained on</w:t>
      </w:r>
      <w:r>
        <w:t xml:space="preserve"> </w:t>
      </w:r>
      <w:r>
        <w:t xml:space="preserve">9.7M curated cells), with abstention learned rather than thresholded and an</w:t>
      </w:r>
      <w:r>
        <w:t xml:space="preserve"> </w:t>
      </w:r>
      <w:r>
        <w:rPr>
          <w:b/>
          <w:bCs/>
        </w:rPr>
        <w:t xml:space="preserve">expected</w:t>
      </w:r>
      <w:r>
        <w:rPr>
          <w:b/>
          <w:bCs/>
        </w:rPr>
        <w:t xml:space="preserve"> </w:t>
      </w:r>
      <w:r>
        <w:rPr>
          <w:b/>
          <w:bCs/>
        </w:rPr>
        <w:t xml:space="preserve">calibration error (ECE)</w:t>
      </w:r>
      <w:r>
        <w:t xml:space="preserve"> </w:t>
      </w:r>
      <w:r>
        <w:t xml:space="preserve">of 0.0044 — meaning its stated confidence sits within half a</w:t>
      </w:r>
      <w:r>
        <w:t xml:space="preserve"> </w:t>
      </w:r>
      <w:r>
        <w:t xml:space="preserve">percentage point of its observed accuracy — running at ~1,000 cells/s on a laptop. It is better resourced than</w:t>
      </w:r>
      <w:r>
        <w:t xml:space="preserve"> </w:t>
      </w:r>
      <w:r>
        <w:t xml:space="preserve">our census-built reference and we make no claim to improve on its annotations. What we do</w:t>
      </w:r>
      <w:r>
        <w:t xml:space="preserve"> </w:t>
      </w:r>
      <w:r>
        <w:t xml:space="preserve">with it instead is</w:t>
      </w:r>
      <w:r>
        <w:t xml:space="preserve"> </w:t>
      </w:r>
      <w:r>
        <w:rPr>
          <w:b/>
          <w:bCs/>
        </w:rPr>
        <w:t xml:space="preserve">use it</w:t>
      </w:r>
      <w:r>
        <w:t xml:space="preserve">: distilling its labels and its hierarchy into actinn-jax</w:t>
      </w:r>
      <w:r>
        <w:t xml:space="preserve"> </w:t>
      </w:r>
      <w:r>
        <w:t xml:space="preserve">produces a broad-pass model of comparable accuracy at six to nine times its throughput, built</w:t>
      </w:r>
      <w:r>
        <w:t xml:space="preserve"> </w:t>
      </w:r>
      <w:r>
        <w:t xml:space="preserve">without a GPU and without labeled data (§3.4). A curated pan-human model is the right thing</w:t>
      </w:r>
      <w:r>
        <w:t xml:space="preserve"> </w:t>
      </w:r>
      <w:r>
        <w:t xml:space="preserve">to start from; a small fast model is the right thing to iterate with.</w:t>
      </w:r>
    </w:p>
    <w:p>
      <w:pPr>
        <w:pStyle w:val="BodyText"/>
      </w:pPr>
      <w:r>
        <w:t xml:space="preserve">What no fixed typology can do is the</w:t>
      </w:r>
      <w:r>
        <w:t xml:space="preserve"> </w:t>
      </w:r>
      <w:r>
        <w:rPr>
          <w:b/>
          <w:bCs/>
        </w:rPr>
        <w:t xml:space="preserve">hand-off</w:t>
      </w:r>
      <w:r>
        <w:t xml:space="preserve">: it cannot</w:t>
      </w:r>
      <w:r>
        <w:t xml:space="preserve"> </w:t>
      </w:r>
      <w:r>
        <w:t xml:space="preserve">re-annotate into a user’s own focused label set (the HLiCA liver reference, cross-study</w:t>
      </w:r>
      <w:r>
        <w:t xml:space="preserve"> </w:t>
      </w:r>
      <w:r>
        <w:t xml:space="preserve">0.23/0.58 → 0.72/0.86) or resolve states below a leaf (hepatocyte zonation). ProtoCloud</w:t>
      </w:r>
      <w:r>
        <w:t xml:space="preserve"> </w:t>
      </w:r>
      <w:r>
        <w:t xml:space="preserve">likewise provides uncertainty, gene attribution and a refinement path (fine-tuning a</w:t>
      </w:r>
      <w:r>
        <w:t xml:space="preserve"> </w:t>
      </w:r>
      <w:r>
        <w:t xml:space="preserve">pretrained model). What survives as distinct to actinn-jax is therefore not the breadth of</w:t>
      </w:r>
      <w:r>
        <w:t xml:space="preserve"> </w:t>
      </w:r>
      <w:r>
        <w:t xml:space="preserve">the broad reference but</w:t>
      </w:r>
      <w:r>
        <w:t xml:space="preserve"> </w:t>
      </w:r>
      <w:r>
        <w:rPr>
          <w:b/>
          <w:bCs/>
        </w:rPr>
        <w:t xml:space="preserve">the chain it enables</w:t>
      </w:r>
      <w:r>
        <w:t xml:space="preserve"> </w:t>
      </w:r>
      <w:r>
        <w:t xml:space="preserve">— start pan-human, re-annotate into label</w:t>
      </w:r>
      <w:r>
        <w:t xml:space="preserve"> </w:t>
      </w:r>
      <w:r>
        <w:t xml:space="preserve">sets no pretrained model carries, screen what none of them claims — at a cost that keeps</w:t>
      </w:r>
      <w:r>
        <w:t xml:space="preserve"> </w:t>
      </w:r>
      <w:r>
        <w:t xml:space="preserve">every stage on a laptop. The distillation recipe is not specific to this teacher or to</w:t>
      </w:r>
      <w:r>
        <w:t xml:space="preserve"> </w:t>
      </w:r>
      <w:r>
        <w:t xml:space="preserve">humans: it needs a pretrained annotator whose typology can be read off its outputs, so</w:t>
      </w:r>
      <w:r>
        <w:t xml:space="preserve"> </w:t>
      </w:r>
      <w:r>
        <w:t xml:space="preserve">extending the same entry point to other organisms is a matter of finding one (or building</w:t>
      </w:r>
      <w:r>
        <w:t xml:space="preserve"> </w:t>
      </w:r>
      <w:r>
        <w:t xml:space="preserve">the broad-pass reference from a labeled census slice, as §3.4’s census route does).</w:t>
      </w:r>
    </w:p>
    <w:p>
      <w:pPr>
        <w:pStyle w:val="BodyText"/>
      </w:pPr>
      <w:r>
        <w:rPr>
          <w:b/>
          <w:bCs/>
        </w:rPr>
        <w:t xml:space="preserve">What the speed is for.</w:t>
      </w:r>
      <w:r>
        <w:t xml:space="preserve"> </w:t>
      </w:r>
      <w:r>
        <w:t xml:space="preserve">Annotation is almost never the result; it is the step before the</w:t>
      </w:r>
      <w:r>
        <w:t xml:space="preserve"> </w:t>
      </w:r>
      <w:r>
        <w:t xml:space="preserve">biology, and it is usually run more than once — the labels change when a reference is</w:t>
      </w:r>
      <w:r>
        <w:t xml:space="preserve"> </w:t>
      </w:r>
      <w:r>
        <w:t xml:space="preserve">swapped, a threshold moves, a new sample arrives, or a cluster turns out to be two things.</w:t>
      </w:r>
      <w:r>
        <w:t xml:space="preserve"> </w:t>
      </w:r>
      <w:r>
        <w:t xml:space="preserve">The argument of this paper is not that a faster classifier produces better labels; at equal</w:t>
      </w:r>
      <w:r>
        <w:t xml:space="preserve"> </w:t>
      </w:r>
      <w:r>
        <w:t xml:space="preserve">data the leading methods differ by at most 0.008 in accuracy (§3.1). It is that when a stage costs</w:t>
      </w:r>
      <w:r>
        <w:t xml:space="preserve"> </w:t>
      </w:r>
      <w:r>
        <w:t xml:space="preserve">a second instead of a minute, and a chain of stages fits in memory on the machine already on</w:t>
      </w:r>
      <w:r>
        <w:t xml:space="preserve"> </w:t>
      </w:r>
      <w:r>
        <w:t xml:space="preserve">the desk, the loop from question to annotated data to the next question closes in an</w:t>
      </w:r>
      <w:r>
        <w:t xml:space="preserve"> </w:t>
      </w:r>
      <w:r>
        <w:t xml:space="preserve">afternoon rather than across a queue. That is the contribution we would defend: not a better</w:t>
      </w:r>
      <w:r>
        <w:t xml:space="preserve"> </w:t>
      </w:r>
      <w:r>
        <w:t xml:space="preserve">number in a table, but a workflow — start from the best pan-human model available, refine</w:t>
      </w:r>
      <w:r>
        <w:t xml:space="preserve"> </w:t>
      </w:r>
      <w:r>
        <w:t xml:space="preserve">into the labels a given study actually uses, and flag what neither covers — that a working</w:t>
      </w:r>
      <w:r>
        <w:t xml:space="preserve"> </w:t>
      </w:r>
      <w:r>
        <w:t xml:space="preserve">scientist can run, inspect, and run again.</w:t>
      </w:r>
    </w:p>
    <w:bookmarkEnd w:id="89"/>
    <w:bookmarkStart w:id="90" w:name="limitations"/>
    <w:p>
      <w:pPr>
        <w:pStyle w:val="Heading1"/>
      </w:pPr>
      <w:r>
        <w:t xml:space="preserve">Limitations</w:t>
      </w:r>
    </w:p>
    <w:p>
      <w:pPr>
        <w:pStyle w:val="Compact"/>
        <w:numPr>
          <w:ilvl w:val="0"/>
          <w:numId w:val="1007"/>
        </w:numPr>
      </w:pPr>
      <w:r>
        <w:t xml:space="preserve">Single hardware family for the in-house panel (Apple Silicon); no discrete-GPU numbers</w:t>
      </w:r>
      <w:r>
        <w:t xml:space="preserve"> </w:t>
      </w:r>
      <w:r>
        <w:t xml:space="preserve">there. The deep and foundation methods are written for CUDA and we would expect them to be</w:t>
      </w:r>
      <w:r>
        <w:t xml:space="preserve"> </w:t>
      </w:r>
      <w:r>
        <w:t xml:space="preserve">faster on it, but we did not measure that — it is outside the</w:t>
      </w:r>
      <w:r>
        <w:t xml:space="preserve"> </w:t>
      </w:r>
      <w:r>
        <w:t xml:space="preserve">“runs-on-a-laptop”</w:t>
      </w:r>
      <w:r>
        <w:t xml:space="preserve"> </w:t>
      </w:r>
      <w:r>
        <w:t xml:space="preserve">question,</w:t>
      </w:r>
      <w:r>
        <w:t xml:space="preserve"> </w:t>
      </w:r>
      <w:r>
        <w:t xml:space="preserve">and every timing here should be read as this hardware’s. The §3.7 controlled run covers the</w:t>
      </w:r>
      <w:r>
        <w:t xml:space="preserve"> </w:t>
      </w:r>
      <w:r>
        <w:rPr>
          <w:b/>
          <w:bCs/>
        </w:rPr>
        <w:t xml:space="preserve">CPU tier</w:t>
      </w:r>
      <w:r>
        <w:t xml:space="preserve"> </w:t>
      </w:r>
      <w:r>
        <w:t xml:space="preserve">on one cloud</w:t>
      </w:r>
      <w:r>
        <w:t xml:space="preserve"> </w:t>
      </w:r>
      <w:r>
        <w:t xml:space="preserve">box; the GPU/R methods there are reported from OP’s own cloud-CI trace (indicative). A</w:t>
      </w:r>
      <w:r>
        <w:t xml:space="preserve"> </w:t>
      </w:r>
      <w:r>
        <w:t xml:space="preserve">same-hardware GPU-tier run to fold those into a single controlled table is the natural</w:t>
      </w:r>
      <w:r>
        <w:t xml:space="preserve"> </w:t>
      </w:r>
      <w:r>
        <w:t xml:space="preserve">extension.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Wall-clock comparisons across methods are only meaningful at matched concurrency.</w:t>
      </w:r>
      <w:r>
        <w:t xml:space="preserve"> </w:t>
      </w:r>
      <w:r>
        <w:t xml:space="preserve">Measured</w:t>
      </w:r>
      <w:r>
        <w:t xml:space="preserve"> </w:t>
      </w:r>
      <w:r>
        <w:rPr>
          <w:rStyle w:val="VerbatimChar"/>
        </w:rPr>
        <w:t xml:space="preserve">%cpu</w:t>
      </w:r>
      <w:r>
        <w:t xml:space="preserve"> </w:t>
      </w:r>
      <w:r>
        <w:t xml:space="preserve">on the OP harness spans 49% to 2338% across methods — some are</w:t>
      </w:r>
      <w:r>
        <w:t xml:space="preserve"> </w:t>
      </w:r>
      <w:r>
        <w:t xml:space="preserve">single-threaded, some saturate 23 cores — so the same method timed at two concurrency</w:t>
      </w:r>
      <w:r>
        <w:t xml:space="preserve"> </w:t>
      </w:r>
      <w:r>
        <w:t xml:space="preserve">settings differs by up to 12×, and any wall-clock ranking taken at high concurrency</w:t>
      </w:r>
      <w:r>
        <w:t xml:space="preserve"> </w:t>
      </w:r>
      <w:r>
        <w:t xml:space="preserve">silently ranks threading and scheduler contention alongside algorithm. Table 9 therefore</w:t>
      </w:r>
      <w:r>
        <w:t xml:space="preserve"> </w:t>
      </w:r>
      <w:r>
        <w:t xml:space="preserve">reports cost as a ratio within a run, anchored by a method common to both (§2.10) — the</w:t>
      </w:r>
      <w:r>
        <w:t xml:space="preserve"> </w:t>
      </w:r>
      <w:r>
        <w:t xml:space="preserve">anchor itself moved 165 s → 87 s between them, which is the size of the effect.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cross-method comparison is human only</w:t>
      </w:r>
      <w:r>
        <w:t xml:space="preserve">; eight splits per benchmark; GPU foundation</w:t>
      </w:r>
      <w:r>
        <w:t xml:space="preserve"> </w:t>
      </w:r>
      <w:r>
        <w:t xml:space="preserve">models beyond scPRINT/UCE (scGPT, Geneformer, popV) not run locally. The bundled references</w:t>
      </w:r>
      <w:r>
        <w:t xml:space="preserve"> </w:t>
      </w:r>
      <w:r>
        <w:t xml:space="preserve">now cover mouse (§3.4), but no</w:t>
      </w:r>
      <w:r>
        <w:t xml:space="preserve"> </w:t>
      </w:r>
      <w:r>
        <w:rPr>
          <w:i/>
          <w:iCs/>
        </w:rPr>
        <w:t xml:space="preserve">method comparison</w:t>
      </w:r>
      <w:r>
        <w:t xml:space="preserve"> </w:t>
      </w:r>
      <w:r>
        <w:t xml:space="preserve">was run on mouse data — the pan-mouse</w:t>
      </w:r>
      <w:r>
        <w:t xml:space="preserve"> </w:t>
      </w:r>
      <w:r>
        <w:t xml:space="preserve">result establishes that the reference-building route works on a second organism, not that</w:t>
      </w:r>
      <w:r>
        <w:t xml:space="preserve"> </w:t>
      </w:r>
      <w:r>
        <w:t xml:space="preserve">actinn-jax’s standing against other methods carries over to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actinn-jax’s standing is worse at very fine granularity.</w:t>
      </w:r>
      <w:r>
        <w:t xml:space="preserve"> </w:t>
      </w:r>
      <w:r>
        <w:t xml:space="preserve">On the 151-type brain cluster</w:t>
      </w:r>
      <w:r>
        <w:t xml:space="preserve"> </w:t>
      </w:r>
      <w:r>
        <w:t xml:space="preserve">split it places tenth of eleven (0.741 against SingleR’s 0.845, §3.1), and the two</w:t>
      </w:r>
      <w:r>
        <w:t xml:space="preserve"> </w:t>
      </w:r>
      <w:r>
        <w:t xml:space="preserve">correlation methods that trail everywhere else lead there. The panel covers one split at that</w:t>
      </w:r>
      <w:r>
        <w:t xml:space="preserve"> </w:t>
      </w:r>
      <w:r>
        <w:t xml:space="preserve">cardinality, and it runs opposite to the 86-type blood+gut result; Table 3’s aggregate does</w:t>
      </w:r>
      <w:r>
        <w:t xml:space="preserve"> </w:t>
      </w:r>
      <w:r>
        <w:t xml:space="preserve">not cover annotation at cluster resolution.</w:t>
      </w:r>
    </w:p>
    <w:p>
      <w:pPr>
        <w:pStyle w:val="Compact"/>
        <w:numPr>
          <w:ilvl w:val="0"/>
          <w:numId w:val="1007"/>
        </w:numPr>
      </w:pPr>
      <w:r>
        <w:t xml:space="preserve">actinn-jax needs more cells/type than linear methods to reach parity (§3.1); on very small</w:t>
      </w:r>
      <w:r>
        <w:t xml:space="preserve"> </w:t>
      </w:r>
      <w:r>
        <w:t xml:space="preserve">references it trails.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distilled broad-pass reference inherits a vocabulary, not a calibration.</w:t>
      </w:r>
      <w:r>
        <w:t xml:space="preserve"> </w:t>
      </w:r>
      <w:r>
        <w:t xml:space="preserve">Pan-human</w:t>
      </w:r>
      <w:r>
        <w:t xml:space="preserve"> </w:t>
      </w:r>
      <w:r>
        <w:t xml:space="preserve">Azimuth’s abstention is trained (and its ECE measured at 0.0044); the distilled student</w:t>
      </w:r>
      <w:r>
        <w:t xml:space="preserve"> </w:t>
      </w:r>
      <w:r>
        <w:t xml:space="preserve">learns hard labels only, so it carries none of that — its confidence barely separates right</w:t>
      </w:r>
      <w:r>
        <w:t xml:space="preserve"> </w:t>
      </w:r>
      <w:r>
        <w:t xml:space="preserve">from wrong (§3.4). Recalibrating it, or distilling from soft targets, is the obvious next</w:t>
      </w:r>
      <w:r>
        <w:t xml:space="preserve"> </w:t>
      </w:r>
      <w:r>
        <w:t xml:space="preserve">step and would need a loss change in the package. Its evaluation is also two withheld</w:t>
      </w:r>
      <w:r>
        <w:t xml:space="preserve"> </w:t>
      </w:r>
      <w:r>
        <w:rPr>
          <w:i/>
          <w:iCs/>
        </w:rPr>
        <w:t xml:space="preserve">atlases</w:t>
      </w:r>
      <w:r>
        <w:t xml:space="preserve">, not withheld tissue: the census-wide corpus spans 376 tissues, so nothing here</w:t>
      </w:r>
      <w:r>
        <w:t xml:space="preserve"> </w:t>
      </w:r>
      <w:r>
        <w:t xml:space="preserve">measures behavior on biology the corpus never saw.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gene budget is dataset-dependent, not a free parameter.</w:t>
      </w:r>
      <w:r>
        <w:t xml:space="preserve"> </w:t>
      </w:r>
      <w:r>
        <w:t xml:space="preserve">More genes help most</w:t>
      </w:r>
      <w:r>
        <w:t xml:space="preserve"> </w:t>
      </w:r>
      <w:r>
        <w:t xml:space="preserve">references but</w:t>
      </w:r>
      <w:r>
        <w:t xml:space="preserve"> </w:t>
      </w:r>
      <w:r>
        <w:rPr>
          <w:i/>
          <w:iCs/>
        </w:rPr>
        <w:t xml:space="preserve">overfit</w:t>
      </w:r>
      <w:r>
        <w:t xml:space="preserve"> </w:t>
      </w:r>
      <w:r>
        <w:t xml:space="preserve">a tiny, fine-grained, domain-shifted query (tabula_sapiens −10 pt);</w:t>
      </w:r>
      <w:r>
        <w:t xml:space="preserve"> </w:t>
      </w:r>
      <w:r>
        <w:t xml:space="preserve">our reference-cross-validation + cells-per-class selection rule is validated on 6 datasets with a single</w:t>
      </w:r>
      <w:r>
        <w:t xml:space="preserve"> </w:t>
      </w:r>
      <w:r>
        <w:t xml:space="preserve">clean failure case, so it is directional evidence, not a tuned threshold.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Standardization is opt-in</w:t>
      </w:r>
      <w:r>
        <w:t xml:space="preserve">, not default, because it shifts probability</w:t>
      </w:r>
      <w:r>
        <w:t xml:space="preserve"> </w:t>
      </w:r>
      <w:r>
        <w:t xml:space="preserve">calibration that the two-stage abstain thresholds are tuned against; combining the two</w:t>
      </w:r>
      <w:r>
        <w:t xml:space="preserve"> </w:t>
      </w:r>
      <w:r>
        <w:t xml:space="preserve">cleanly would require re-tuning those thresholds.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Our classical tier (SVM, kNN, CellTypist) is untuned, and a tuned linear baseline beats</w:t>
      </w:r>
      <w:r>
        <w:rPr>
          <w:b/>
          <w:bCs/>
        </w:rPr>
        <w:t xml:space="preserve"> </w:t>
      </w:r>
      <w:r>
        <w:rPr>
          <w:b/>
          <w:bCs/>
        </w:rPr>
        <w:t xml:space="preserve">actinn-jax.</w:t>
      </w:r>
      <w:r>
        <w:t xml:space="preserve"> </w:t>
      </w:r>
      <w:r>
        <w:t xml:space="preserve">Souza &amp; Mehta’s pipeline (normalize → ANOVA → standardize → PCA(220) →</w:t>
      </w:r>
      <w:r>
        <w:t xml:space="preserve"> </w:t>
      </w:r>
      <w:r>
        <w:t xml:space="preserve">logistic regression) leads the matrix on accuracy (0.839 vs 0.831) and macro-F1 (0.699 vs</w:t>
      </w:r>
      <w:r>
        <w:t xml:space="preserve"> </w:t>
      </w:r>
      <w:r>
        <w:t xml:space="preserve">0.683) while fitting 7× faster on this panel’s hardware (§2.5), with its largest margin</w:t>
      </w:r>
      <w:r>
        <w:t xml:space="preserve"> </w:t>
      </w:r>
      <w:r>
        <w:t xml:space="preserve">on the 86-type blood+gut set (+4.2 pt).</w:t>
      </w:r>
      <w:r>
        <w:t xml:space="preserve"> </w:t>
      </w:r>
      <w:r>
        <w:t xml:space="preserve">Wall-clock ratios between a JAX model and a scikit-learn pipeline shift with the CPU and</w:t>
      </w:r>
      <w:r>
        <w:t xml:space="preserve"> </w:t>
      </w:r>
      <w:r>
        <w:t xml:space="preserve">the threading available, so read them as this machine’s, not as constants. The §3.1</w:t>
      </w:r>
      <w:r>
        <w:t xml:space="preserve"> </w:t>
      </w:r>
      <w:r>
        <w:t xml:space="preserve">margins over the</w:t>
      </w:r>
      <w:r>
        <w:t xml:space="preserve"> </w:t>
      </w:r>
      <w:r>
        <w:t xml:space="preserve">classical tier should therefore be read as margins over</w:t>
      </w:r>
      <w:r>
        <w:t xml:space="preserve"> </w:t>
      </w:r>
      <w:r>
        <w:rPr>
          <w:i/>
          <w:iCs/>
        </w:rPr>
        <w:t xml:space="preserve">untuned</w:t>
      </w:r>
      <w:r>
        <w:t xml:space="preserve"> </w:t>
      </w:r>
      <w:r>
        <w:t xml:space="preserve">baselines; a like-for-like</w:t>
      </w:r>
      <w:r>
        <w:t xml:space="preserve"> </w:t>
      </w:r>
      <w:r>
        <w:t xml:space="preserve">tuning effort on SVM or CellTypist would likely narrow them further. scTOP is cheaper</w:t>
      </w:r>
      <w:r>
        <w:t xml:space="preserve"> </w:t>
      </w:r>
      <w:r>
        <w:t xml:space="preserve">still to fit but competitive only at small, low cardinality — its own best macro-F1 on</w:t>
      </w:r>
      <w:r>
        <w:t xml:space="preserve"> </w:t>
      </w:r>
      <w:r>
        <w:t xml:space="preserve">pbmc (0.837), degrading to 0.644 on liver.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actinn-jax’s memory advantage is bounded, and the linear pipeline scales further than a</w:t>
      </w:r>
      <w:r>
        <w:rPr>
          <w:b/>
          <w:bCs/>
        </w:rPr>
        <w:t xml:space="preserve"> </w:t>
      </w:r>
      <w:r>
        <w:rPr>
          <w:b/>
          <w:bCs/>
        </w:rPr>
        <w:t xml:space="preserve">naive extrapolation implies</w:t>
      </w:r>
      <w:r>
        <w:t xml:space="preserve">. Extrapolating the</w:t>
      </w:r>
      <w:r>
        <w:t xml:space="preserve"> </w:t>
      </w:r>
      <w:r>
        <w:t xml:space="preserve">linear pipeline’s small-reference footprint overstates its atlas-scale peak by ~2.4× — the</w:t>
      </w:r>
      <w:r>
        <w:t xml:space="preserve"> </w:t>
      </w:r>
      <w:r>
        <w:t xml:space="preserve">measured figure is</w:t>
      </w:r>
      <w:r>
        <w:t xml:space="preserve"> </w:t>
      </w:r>
      <w:r>
        <w:rPr>
          <w:b/>
          <w:bCs/>
        </w:rPr>
        <w:t xml:space="preserve">13.2 GB</w:t>
      </w:r>
      <w:r>
        <w:t xml:space="preserve"> </w:t>
      </w:r>
      <w:r>
        <w:t xml:space="preserve">at 49k reference cells — because its feature-selection step</w:t>
      </w:r>
      <w:r>
        <w:t xml:space="preserve"> </w:t>
      </w:r>
      <w:r>
        <w:t xml:space="preserve">caps the dense matrix at 20,000 genes rather than the full gene set. The linear/actinn-jax</w:t>
      </w:r>
      <w:r>
        <w:t xml:space="preserve"> </w:t>
      </w:r>
      <w:r>
        <w:t xml:space="preserve">memory ratio is likewise</w:t>
      </w:r>
      <w:r>
        <w:t xml:space="preserve"> </w:t>
      </w:r>
      <w:r>
        <w:rPr>
          <w:b/>
          <w:bCs/>
        </w:rPr>
        <w:t xml:space="preserve">bounded at ~2–3×</w:t>
      </w:r>
      <w:r>
        <w:t xml:space="preserve"> </w:t>
      </w:r>
      <w:r>
        <w:t xml:space="preserve">(2.15× at full scale) rather than widening with data, so there is no</w:t>
      </w:r>
      <w:r>
        <w:t xml:space="preserve"> </w:t>
      </w:r>
      <w:r>
        <w:t xml:space="preserve">scaling cliff and no regime tested where the linear pipeline stops being usable. Memory</w:t>
      </w:r>
      <w:r>
        <w:t xml:space="preserve"> </w:t>
      </w:r>
      <w:r>
        <w:t xml:space="preserve">in this setting should be measured, not extrapolated.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main matrix uses subsampled references, and its ranking does not survive atlas scale.</w:t>
      </w:r>
      <w:r>
        <w:t xml:space="preserve"> </w:t>
      </w:r>
      <w:r>
        <w:t xml:space="preserve">Carried to 49k lung and 47k liver reference cells, ProtoCloud moves from the weakest method</w:t>
      </w:r>
      <w:r>
        <w:t xml:space="preserve"> </w:t>
      </w:r>
      <w:r>
        <w:t xml:space="preserve">to the strongest and scTOP crosses from the lightest to heavier than actinn-jax (§3.3,</w:t>
      </w:r>
      <w:r>
        <w:t xml:space="preserve"> </w:t>
      </w:r>
      <w:r>
        <w:t xml:space="preserve">Figure 3). The accuracy ordering of Table 3 describes laptop-sized references, which is the</w:t>
      </w:r>
      <w:r>
        <w:t xml:space="preserve"> </w:t>
      </w:r>
      <w:r>
        <w:t xml:space="preserve">regime this paper is about, but it should not be read as a ranking at atlas scale.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Annotation only.</w:t>
      </w:r>
      <w:r>
        <w:t xml:space="preserve"> </w:t>
      </w:r>
      <w:r>
        <w:t xml:space="preserve">Cross-species transfer and disease-state prediction — the tasks where</w:t>
      </w:r>
      <w:r>
        <w:t xml:space="preserve"> </w:t>
      </w:r>
      <w:r>
        <w:t xml:space="preserve">Souza &amp; Mehta find the largest foundation-model deficits, and where a fast method would be</w:t>
      </w:r>
      <w:r>
        <w:t xml:space="preserve"> </w:t>
      </w:r>
      <w:r>
        <w:t xml:space="preserve">most attractive — are outside this benchmark’s scope (human, within/cross-dataset</w:t>
      </w:r>
      <w:r>
        <w:t xml:space="preserve"> </w:t>
      </w:r>
      <w:r>
        <w:t xml:space="preserve">annotation).</w:t>
      </w:r>
    </w:p>
    <w:bookmarkEnd w:id="90"/>
    <w:bookmarkStart w:id="97" w:name="data-code-availability"/>
    <w:p>
      <w:pPr>
        <w:pStyle w:val="Heading1"/>
      </w:pPr>
      <w:r>
        <w:t xml:space="preserve">Data &amp; code availability</w:t>
      </w:r>
    </w:p>
    <w:p>
      <w:pPr>
        <w:pStyle w:val="FirstParagraph"/>
      </w:pPr>
      <w:r>
        <w:t xml:space="preserve">Two repositories hold everything needed to reproduce this work. The</w:t>
      </w:r>
      <w:r>
        <w:t xml:space="preserve"> </w:t>
      </w:r>
      <w:hyperlink r:id="rId33">
        <w:r>
          <w:rPr>
            <w:rStyle w:val="Hyperlink"/>
            <w:b/>
            <w:bCs/>
          </w:rPr>
          <w:t xml:space="preserve">benchmark repository</w:t>
        </w:r>
      </w:hyperlink>
      <w:r>
        <w:t xml:space="preserve"> </w:t>
      </w:r>
      <w:r>
        <w:t xml:space="preserve">carries the harness, the per-method adapters, the run</w:t>
      </w:r>
      <w:r>
        <w:t xml:space="preserve"> </w:t>
      </w:r>
      <w:r>
        <w:t xml:space="preserve">configurations that produce every number reported here, the environment lockfiles, the</w:t>
      </w:r>
      <w:r>
        <w:t xml:space="preserve"> </w:t>
      </w:r>
      <w:r>
        <w:t xml:space="preserve">result tables including the unified eleven-method matrix, and the figure scripts. It is</w:t>
      </w:r>
      <w:r>
        <w:t xml:space="preserve"> </w:t>
      </w:r>
      <w:r>
        <w:t xml:space="preserve">archived at</w:t>
      </w:r>
      <w:r>
        <w:t xml:space="preserve"> </w:t>
      </w:r>
      <w:hyperlink r:id="rId91">
        <w:r>
          <w:rPr>
            <w:rStyle w:val="Hyperlink"/>
          </w:rPr>
          <w:t xml:space="preserve">doi:10.5281/zenodo.21911372</w:t>
        </w:r>
      </w:hyperlink>
      <w:r>
        <w:t xml:space="preserve"> </w:t>
      </w:r>
      <w:r>
        <w:t xml:space="preserve">(MIT; a</w:t>
      </w:r>
      <w:r>
        <w:t xml:space="preserve"> </w:t>
      </w:r>
      <w:r>
        <w:t xml:space="preserve">concept DOI that resolves to the most recent release), which is what to cite for reproduction</w:t>
      </w:r>
      <w:r>
        <w:t xml:space="preserve"> </w:t>
      </w:r>
      <w:r>
        <w:t xml:space="preserve">rather than the default branch, since the branch may move on. The</w:t>
      </w:r>
      <w:r>
        <w:t xml:space="preserve"> </w:t>
      </w:r>
      <w:hyperlink r:id="rId92">
        <w:r>
          <w:rPr>
            <w:rStyle w:val="Hyperlink"/>
            <w:b/>
            <w:bCs/>
          </w:rPr>
          <w:t xml:space="preserve">actinn-jax package</w:t>
        </w:r>
      </w:hyperlink>
      <w:r>
        <w:t xml:space="preserve"> </w:t>
      </w:r>
      <w:r>
        <w:t xml:space="preserve">is on PyPI</w:t>
      </w:r>
      <w:r>
        <w:t xml:space="preserve"> </w:t>
      </w:r>
      <w:r>
        <w:t xml:space="preserve">(</w:t>
      </w:r>
      <w:r>
        <w:rPr>
          <w:rStyle w:val="VerbatimChar"/>
        </w:rPr>
        <w:t xml:space="preserve">pip install actinn-jax</w:t>
      </w:r>
      <w:r>
        <w:t xml:space="preserve">). Rebuilding the broad reference is a single documented</w:t>
      </w:r>
      <w:r>
        <w:t xml:space="preserve"> </w:t>
      </w:r>
      <w:r>
        <w:t xml:space="preserve">command; the distilled broad-pass reference, the pan-mouse reference and the Cell-Ontology</w:t>
      </w:r>
      <w:r>
        <w:t xml:space="preserve"> </w:t>
      </w:r>
      <w:r>
        <w:t xml:space="preserve">hierarchy it depends on each have their own build documentation in the benchmark</w:t>
      </w:r>
      <w:r>
        <w:t xml:space="preserve"> </w:t>
      </w:r>
      <w:r>
        <w:t xml:space="preserve">repository, and the file-level detail lives there rather than here.</w:t>
      </w:r>
    </w:p>
    <w:p>
      <w:pPr>
        <w:pStyle w:val="BodyText"/>
      </w:pPr>
      <w:r>
        <w:rPr>
          <w:b/>
          <w:bCs/>
        </w:rPr>
        <w:t xml:space="preserve">Pre-trained references</w:t>
      </w:r>
      <w:r>
        <w:t xml:space="preserve"> </w:t>
      </w:r>
      <w:r>
        <w:t xml:space="preserve">— human (</w:t>
      </w:r>
      <w:r>
        <w:rPr>
          <w:rStyle w:val="VerbatimChar"/>
        </w:rPr>
        <w:t xml:space="preserve">broad_human_v1</w:t>
      </w:r>
      <w:r>
        <w:t xml:space="preserve">,</w:t>
      </w:r>
      <w:r>
        <w:t xml:space="preserve"> </w:t>
      </w:r>
      <w:r>
        <w:rPr>
          <w:rStyle w:val="VerbatimChar"/>
        </w:rPr>
        <w:t xml:space="preserve">panhuman_distill_v1</w:t>
      </w:r>
      <w:r>
        <w:t xml:space="preserve">), mouse</w:t>
      </w:r>
      <w:r>
        <w:t xml:space="preserve"> </w:t>
      </w:r>
      <w:r>
        <w:t xml:space="preserve">(</w:t>
      </w:r>
      <w:r>
        <w:rPr>
          <w:rStyle w:val="VerbatimChar"/>
        </w:rPr>
        <w:t xml:space="preserve">broad_mouse_v1</w:t>
      </w:r>
      <w:r>
        <w:t xml:space="preserve">) and focused liver (</w:t>
      </w:r>
      <w:r>
        <w:rPr>
          <w:rStyle w:val="VerbatimChar"/>
        </w:rPr>
        <w:t xml:space="preserve">liver_hlica_v1</w:t>
      </w:r>
      <w:r>
        <w:t xml:space="preserve">/</w:t>
      </w:r>
      <w:r>
        <w:rPr>
          <w:rStyle w:val="VerbatimChar"/>
        </w:rPr>
        <w:t xml:space="preserve">v2</w:t>
      </w:r>
      <w:r>
        <w:t xml:space="preserve">) — are archived at</w:t>
      </w:r>
      <w:r>
        <w:t xml:space="preserve"> </w:t>
      </w:r>
      <w:hyperlink r:id="rId93">
        <w:r>
          <w:rPr>
            <w:rStyle w:val="Hyperlink"/>
          </w:rPr>
          <w:t xml:space="preserve">doi:10.5281/zenodo.21688151</w:t>
        </w:r>
      </w:hyperlink>
      <w:r>
        <w:t xml:space="preserve"> </w:t>
      </w:r>
      <w:r>
        <w:t xml:space="preserve">(CC BY 4.0; cite the</w:t>
      </w:r>
      <w:r>
        <w:t xml:space="preserve"> </w:t>
      </w:r>
      <w:r>
        <w:t xml:space="preserve">concept DOI</w:t>
      </w:r>
      <w:r>
        <w:t xml:space="preserve"> </w:t>
      </w:r>
      <w:hyperlink r:id="rId94">
        <w:r>
          <w:rPr>
            <w:rStyle w:val="Hyperlink"/>
          </w:rPr>
          <w:t xml:space="preserve">10.5281/zenodo.21688150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latest version). The package downloads and caches them on first use, so no manual</w:t>
      </w:r>
      <w:r>
        <w:t xml:space="preserve"> </w:t>
      </w:r>
      <w:r>
        <w:t xml:space="preserve">retrieval is needed, and can pre-download them for offline use.</w:t>
      </w:r>
    </w:p>
    <w:p>
      <w:pPr>
        <w:pStyle w:val="BodyText"/>
      </w:pPr>
      <w:r>
        <w:t xml:space="preserve">HLiCA data © Edgar et al. 2026 (CC-BY 4.0),</w:t>
      </w:r>
      <w:r>
        <w:t xml:space="preserve"> </w:t>
      </w:r>
      <w:hyperlink r:id="rId29">
        <w:r>
          <w:rPr>
            <w:rStyle w:val="Hyperlink"/>
          </w:rPr>
          <w:t xml:space="preserve">[doi:10.64898/2026.06.30.735539]</w:t>
        </w:r>
      </w:hyperlink>
      <w:r>
        <w:t xml:space="preserve">. The distilled</w:t>
      </w:r>
      <w:r>
        <w:t xml:space="preserve"> </w:t>
      </w:r>
      <w:r>
        <w:t xml:space="preserve">reference derives from</w:t>
      </w:r>
      <w:r>
        <w:t xml:space="preserve"> </w:t>
      </w:r>
      <w:r>
        <w:rPr>
          <w:b/>
          <w:bCs/>
        </w:rPr>
        <w:t xml:space="preserve">Pan-human Azimuth</w:t>
      </w:r>
      <w:r>
        <w:t xml:space="preserve"> </w:t>
      </w:r>
      <w:r>
        <w:t xml:space="preserve">(Sarkar, Li, Molla, … Satija, bioRxiv 2026,</w:t>
      </w:r>
      <w:r>
        <w:t xml:space="preserve"> </w:t>
      </w:r>
      <w:hyperlink r:id="rId25">
        <w:r>
          <w:rPr>
            <w:rStyle w:val="Hyperlink"/>
          </w:rPr>
          <w:t xml:space="preserve">doi:10.64898/2026.07.16.738997</w:t>
        </w:r>
      </w:hyperlink>
      <w:r>
        <w:t xml:space="preserve">); its weights are</w:t>
      </w:r>
      <w:r>
        <w:t xml:space="preserve"> </w:t>
      </w:r>
      <w:r>
        <w:t xml:space="preserve">© the authors under</w:t>
      </w:r>
      <w:r>
        <w:t xml:space="preserve"> </w:t>
      </w:r>
      <w:hyperlink r:id="rId95">
        <w:r>
          <w:rPr>
            <w:rStyle w:val="Hyperlink"/>
          </w:rPr>
          <w:t xml:space="preserve">CC BY 4.0</w:t>
        </w:r>
      </w:hyperlink>
      <w:r>
        <w:t xml:space="preserve">, obtained via</w:t>
      </w:r>
      <w:r>
        <w:t xml:space="preserve"> </w:t>
      </w:r>
      <w:r>
        <w:rPr>
          <w:rStyle w:val="VerbatimChar"/>
        </w:rPr>
        <w:t xml:space="preserve">panhumanpy</w:t>
      </w:r>
      <w:r>
        <w:t xml:space="preserve"> </w:t>
      </w:r>
      <w:r>
        <w:t xml:space="preserve">(MIT) and</w:t>
      </w:r>
      <w:r>
        <w:t xml:space="preserve"> </w:t>
      </w:r>
      <w:hyperlink r:id="rId96">
        <w:r>
          <w:rPr>
            <w:rStyle w:val="Hyperlink"/>
          </w:rPr>
          <w:t xml:space="preserve">Zenodo</w:t>
        </w:r>
      </w:hyperlink>
      <w:r>
        <w:t xml:space="preserve">. Attribution is a</w:t>
      </w:r>
      <w:r>
        <w:t xml:space="preserve"> </w:t>
      </w:r>
      <w:r>
        <w:t xml:space="preserve">condition of that licence and travels inside each model’s build record.</w:t>
      </w:r>
    </w:p>
    <w:p>
      <w:pPr>
        <w:pStyle w:val="BodyText"/>
      </w:pPr>
      <w:r>
        <w:rPr>
          <w:b/>
          <w:bCs/>
        </w:rPr>
        <w:t xml:space="preserve">Additional documentation.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benchmark repository</w:t>
        </w:r>
      </w:hyperlink>
      <w:r>
        <w:t xml:space="preserve"> </w:t>
      </w:r>
      <w:r>
        <w:t xml:space="preserve">carries detailed notes for each result — tuned linear pipeline and sctop baselines; protocloud comparison; scaling and memory to atlas size; survey of cell-type annotation methods; rebuilding the broad reference; distilling pan-human azimuth; and 9 more.</w:t>
      </w:r>
    </w:p>
    <w:p>
      <w:pPr>
        <w:pStyle w:val="BodyText"/>
      </w:pPr>
      <w:r>
        <w:rPr>
          <w:b/>
          <w:bCs/>
        </w:rPr>
        <w:t xml:space="preserve">Supplementary material</w:t>
      </w:r>
      <w:r>
        <w:t xml:space="preserve"> </w:t>
      </w:r>
      <w:r>
        <w:t xml:space="preserve">(separate document) contains Figures S1–S11 — confusion matrices</w:t>
      </w:r>
      <w:r>
        <w:t xml:space="preserve"> </w:t>
      </w:r>
      <w:r>
        <w:t xml:space="preserve">with ontology-equivalent errors outlined, per-class recall across eleven methods on four</w:t>
      </w:r>
      <w:r>
        <w:t xml:space="preserve"> </w:t>
      </w:r>
      <w:r>
        <w:t xml:space="preserve">splits, the cost and scaling studies, the abstain sweeps, and the per-split view behind</w:t>
      </w:r>
      <w:r>
        <w:t xml:space="preserve"> </w:t>
      </w:r>
      <w:r>
        <w:t xml:space="preserve">Figure 1 — and Tables S1–S3, the method and dataset descriptions and per-dataset accuracy.</w:t>
      </w:r>
    </w:p>
    <w:bookmarkEnd w:id="97"/>
    <w:bookmarkStart w:id="98" w:name="references"/>
    <w:p>
      <w:pPr>
        <w:pStyle w:val="Heading1"/>
      </w:pPr>
      <w:r>
        <w:t xml:space="preserve">References</w:t>
      </w:r>
    </w:p>
    <w:p>
      <w:pPr>
        <w:pStyle w:val="Compact"/>
        <w:numPr>
          <w:ilvl w:val="0"/>
          <w:numId w:val="1008"/>
        </w:numPr>
      </w:pPr>
      <w:r>
        <w:t xml:space="preserve">10x Genomics. 3k PBMCs from a healthy donor, Cell Ranger 1.1.0 (2016). Distributed with scanpy as</w:t>
      </w:r>
      <w:r>
        <w:t xml:space="preserve"> </w:t>
      </w:r>
      <w:r>
        <w:rPr>
          <w:rStyle w:val="VerbatimChar"/>
        </w:rPr>
        <w:t xml:space="preserve">pbmc3k</w:t>
      </w:r>
      <w:r>
        <w:t xml:space="preserve">.</w:t>
      </w:r>
      <w:r>
        <w:t xml:space="preserve"> </w:t>
      </w:r>
      <w:hyperlink r:id="rId31">
        <w:r>
          <w:rPr>
            <w:rStyle w:val="Hyperlink"/>
          </w:rPr>
          <w:t xml:space="preserve">10xgenomics.com/datasets/3-k-pbm-cs-from-a-healthy-donor-1-standard-1-1-0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Abdelaal T, et al. A comparison of automatic cell identification methods for single-cell RNA sequencing data.</w:t>
      </w:r>
      <w:r>
        <w:t xml:space="preserve"> </w:t>
      </w:r>
      <w:r>
        <w:rPr>
          <w:i/>
          <w:iCs/>
        </w:rPr>
        <w:t xml:space="preserve">Genome Biology</w:t>
      </w:r>
      <w:r>
        <w:t xml:space="preserve"> </w:t>
      </w:r>
      <w:r>
        <w:t xml:space="preserve">20:194 (2019).</w:t>
      </w:r>
      <w:r>
        <w:t xml:space="preserve"> </w:t>
      </w:r>
      <w:hyperlink r:id="rId9">
        <w:r>
          <w:rPr>
            <w:rStyle w:val="Hyperlink"/>
          </w:rPr>
          <w:t xml:space="preserve">doi:10.1186/s13059-019-1795-z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Alegbe T, Harris BT, Fachal L, et al. Cell-type-resolved genetic variation shapes inflammatory bowel disease risk (IBDverse).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(2026).</w:t>
      </w:r>
      <w:r>
        <w:t xml:space="preserve"> </w:t>
      </w:r>
      <w:hyperlink r:id="rId30">
        <w:r>
          <w:rPr>
            <w:rStyle w:val="Hyperlink"/>
          </w:rPr>
          <w:t xml:space="preserve">doi:10.1038/s41586-026-10627-z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Aran D, et al. Reference-based analysis of lung single-cell sequencing reveals a transitional profibrotic macrophage (SingleR).</w:t>
      </w:r>
      <w:r>
        <w:t xml:space="preserve"> </w:t>
      </w:r>
      <w:r>
        <w:rPr>
          <w:i/>
          <w:iCs/>
        </w:rPr>
        <w:t xml:space="preserve">Nature Immunology</w:t>
      </w:r>
      <w:r>
        <w:t xml:space="preserve"> </w:t>
      </w:r>
      <w:r>
        <w:t xml:space="preserve">20:163-172 (2019).</w:t>
      </w:r>
      <w:r>
        <w:t xml:space="preserve"> </w:t>
      </w:r>
      <w:hyperlink r:id="rId19">
        <w:r>
          <w:rPr>
            <w:rStyle w:val="Hyperlink"/>
          </w:rPr>
          <w:t xml:space="preserve">doi:10.1038/s41590-018-0276-y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Bradbury J, et al. JAX: composable transformations of Python+NumPy programs (2018).</w:t>
      </w:r>
      <w:r>
        <w:t xml:space="preserve"> </w:t>
      </w:r>
      <w:hyperlink r:id="rId14">
        <w:r>
          <w:rPr>
            <w:rStyle w:val="Hyperlink"/>
          </w:rPr>
          <w:t xml:space="preserve">github.com/jax-ml/jax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CZI Cell Science Program. CZ CELLxGENE Discover Census, LTS release 2025-11-08.</w:t>
      </w:r>
      <w:r>
        <w:t xml:space="preserve"> </w:t>
      </w:r>
      <w:hyperlink r:id="rId36">
        <w:r>
          <w:rPr>
            <w:rStyle w:val="Hyperlink"/>
          </w:rPr>
          <w:t xml:space="preserve">chanzuckerberg.github.io/cellxgene-census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Chen T, Guestrin C. XGBoost: a scalable tree boosting system.</w:t>
      </w:r>
      <w:r>
        <w:t xml:space="preserve"> </w:t>
      </w:r>
      <w:r>
        <w:rPr>
          <w:i/>
          <w:iCs/>
        </w:rPr>
        <w:t xml:space="preserve">KDD</w:t>
      </w:r>
      <w:r>
        <w:t xml:space="preserve"> </w:t>
      </w:r>
      <w:r>
        <w:t xml:space="preserve">785-794 (2016).</w:t>
      </w:r>
      <w:r>
        <w:t xml:space="preserve"> </w:t>
      </w:r>
      <w:hyperlink r:id="rId79">
        <w:r>
          <w:rPr>
            <w:rStyle w:val="Hyperlink"/>
          </w:rPr>
          <w:t xml:space="preserve">doi:10.1145/2939672.2939785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Domínguez Conde C, et al. Cross-tissue immune cell analysis reveals tissue-specific features in humans (CellTypist).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376:eabl5197 (2022).</w:t>
      </w:r>
      <w:r>
        <w:t xml:space="preserve"> </w:t>
      </w:r>
      <w:hyperlink r:id="rId17">
        <w:r>
          <w:rPr>
            <w:rStyle w:val="Hyperlink"/>
          </w:rPr>
          <w:t xml:space="preserve">doi:10.1126/science.abl5197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Edgar RD, Portman JR, Hu H, et al. HLiCA: an integrated cell atlas of the healthy human liver.</w:t>
      </w:r>
      <w:r>
        <w:t xml:space="preserve"> </w:t>
      </w:r>
      <w:r>
        <w:rPr>
          <w:i/>
          <w:iCs/>
        </w:rPr>
        <w:t xml:space="preserve">bioRxiv</w:t>
      </w:r>
      <w:r>
        <w:t xml:space="preserve"> </w:t>
      </w:r>
      <w:r>
        <w:t xml:space="preserve">(2026).</w:t>
      </w:r>
      <w:r>
        <w:t xml:space="preserve"> </w:t>
      </w:r>
      <w:hyperlink r:id="rId29">
        <w:r>
          <w:rPr>
            <w:rStyle w:val="Hyperlink"/>
          </w:rPr>
          <w:t xml:space="preserve">doi:10.64898/2026.06.30.735539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Fu Q, Dong C, Liu Y, et al. A comparison of scRNA-seq annotation methods based on experimentally labeled immune cell subtype dataset.</w:t>
      </w:r>
      <w:r>
        <w:t xml:space="preserve"> </w:t>
      </w:r>
      <w:r>
        <w:rPr>
          <w:i/>
          <w:iCs/>
        </w:rPr>
        <w:t xml:space="preserve">Briefings in Bioinformatics</w:t>
      </w:r>
      <w:r>
        <w:t xml:space="preserve"> </w:t>
      </w:r>
      <w:r>
        <w:t xml:space="preserve">25(5):bbae392 (2024).</w:t>
      </w:r>
      <w:r>
        <w:t xml:space="preserve"> </w:t>
      </w:r>
      <w:hyperlink r:id="rId10">
        <w:r>
          <w:rPr>
            <w:rStyle w:val="Hyperlink"/>
          </w:rPr>
          <w:t xml:space="preserve">doi:10.1093/bib/bbae392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Guo K, Ding J. ProtoCloud: a prototypical self-explaining model for single-cell analysis.</w:t>
      </w:r>
      <w:r>
        <w:t xml:space="preserve"> </w:t>
      </w:r>
      <w:r>
        <w:rPr>
          <w:i/>
          <w:iCs/>
        </w:rPr>
        <w:t xml:space="preserve">Cell Genomics</w:t>
      </w:r>
      <w:r>
        <w:t xml:space="preserve"> </w:t>
      </w:r>
      <w:r>
        <w:t xml:space="preserve">6(6):101217 (2026).</w:t>
      </w:r>
      <w:r>
        <w:t xml:space="preserve"> </w:t>
      </w:r>
      <w:hyperlink r:id="rId23">
        <w:r>
          <w:rPr>
            <w:rStyle w:val="Hyperlink"/>
          </w:rPr>
          <w:t xml:space="preserve">doi:10.1016/j.xgen.2026.101217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Kalfon J, Samaran J, Peyré G, Cantini L. scPRINT: pre-training on 50 million cells allows robust gene network predictions.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 </w:t>
      </w:r>
      <w:r>
        <w:t xml:space="preserve">16:3607 (2025).</w:t>
      </w:r>
      <w:r>
        <w:t xml:space="preserve"> </w:t>
      </w:r>
      <w:hyperlink r:id="rId24">
        <w:r>
          <w:rPr>
            <w:rStyle w:val="Hyperlink"/>
          </w:rPr>
          <w:t xml:space="preserve">doi:10.1038/s41467-025-58699-1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Kiselev VY, Yiu A, Hemberg M. scmap: projection of single-cell RNA-seq data across data sets.</w:t>
      </w:r>
      <w:r>
        <w:t xml:space="preserve"> </w:t>
      </w:r>
      <w:r>
        <w:rPr>
          <w:i/>
          <w:iCs/>
        </w:rPr>
        <w:t xml:space="preserve">Nature Methods</w:t>
      </w:r>
      <w:r>
        <w:t xml:space="preserve"> </w:t>
      </w:r>
      <w:r>
        <w:t xml:space="preserve">15:359-362 (2018).</w:t>
      </w:r>
      <w:r>
        <w:t xml:space="preserve"> </w:t>
      </w:r>
      <w:hyperlink r:id="rId20">
        <w:r>
          <w:rPr>
            <w:rStyle w:val="Hyperlink"/>
          </w:rPr>
          <w:t xml:space="preserve">doi:10.1038/nmeth.4644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Lin Z, et al. Evolutionary-scale prediction of atomic-level protein structure with a language model (ESM-2).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379:1123-1130 (2023).</w:t>
      </w:r>
      <w:r>
        <w:t xml:space="preserve"> </w:t>
      </w:r>
      <w:hyperlink r:id="rId44">
        <w:r>
          <w:rPr>
            <w:rStyle w:val="Hyperlink"/>
          </w:rPr>
          <w:t xml:space="preserve">doi:10.1126/science.ade2574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Lotfollahi M, et al. Mapping single-cell data to reference atlases by transfer learning (scArches).</w:t>
      </w:r>
      <w:r>
        <w:t xml:space="preserve"> </w:t>
      </w:r>
      <w:r>
        <w:rPr>
          <w:i/>
          <w:iCs/>
        </w:rPr>
        <w:t xml:space="preserve">Nature Biotechnology</w:t>
      </w:r>
      <w:r>
        <w:t xml:space="preserve"> </w:t>
      </w:r>
      <w:r>
        <w:t xml:space="preserve">40:121-130 (2022).</w:t>
      </w:r>
      <w:r>
        <w:t xml:space="preserve"> </w:t>
      </w:r>
      <w:hyperlink r:id="rId22">
        <w:r>
          <w:rPr>
            <w:rStyle w:val="Hyperlink"/>
          </w:rPr>
          <w:t xml:space="preserve">doi:10.1038/s41587-021-01001-7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Ma F, Pellegrini M. ACTINN: automated identification of cell types in single cell RNA sequencing.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 </w:t>
      </w:r>
      <w:r>
        <w:t xml:space="preserve">36(2):533-538 (2020).</w:t>
      </w:r>
      <w:r>
        <w:t xml:space="preserve"> </w:t>
      </w:r>
      <w:hyperlink r:id="rId13">
        <w:r>
          <w:rPr>
            <w:rStyle w:val="Hyperlink"/>
          </w:rPr>
          <w:t xml:space="preserve">doi:10.1093/bioinformatics/btz592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Miller JA, Gouwens NW, Tasic B, et al. Common cell type nomenclature for the mammalian brain.</w:t>
      </w:r>
      <w:r>
        <w:t xml:space="preserve"> </w:t>
      </w:r>
      <w:r>
        <w:rPr>
          <w:i/>
          <w:iCs/>
        </w:rPr>
        <w:t xml:space="preserve">eLife</w:t>
      </w:r>
      <w:r>
        <w:t xml:space="preserve"> </w:t>
      </w:r>
      <w:r>
        <w:t xml:space="preserve">9:e59928 (2020).</w:t>
      </w:r>
      <w:r>
        <w:t xml:space="preserve"> </w:t>
      </w:r>
      <w:hyperlink r:id="rId68">
        <w:r>
          <w:rPr>
            <w:rStyle w:val="Hyperlink"/>
          </w:rPr>
          <w:t xml:space="preserve">doi:10.7554/eLife.59928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Open Problems for Single-Cell Analysis Consortium. Open Problems: a living benchmark for single-cell analysis (2024).</w:t>
      </w:r>
      <w:r>
        <w:t xml:space="preserve"> </w:t>
      </w:r>
      <w:hyperlink r:id="rId41">
        <w:r>
          <w:rPr>
            <w:rStyle w:val="Hyperlink"/>
          </w:rPr>
          <w:t xml:space="preserve">openproblems.bio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Pedregosa F, et al. Scikit-learn: machine learning in Python.</w:t>
      </w:r>
      <w:r>
        <w:t xml:space="preserve"> </w:t>
      </w:r>
      <w:r>
        <w:rPr>
          <w:i/>
          <w:iCs/>
        </w:rPr>
        <w:t xml:space="preserve">JMLR</w:t>
      </w:r>
      <w:r>
        <w:t xml:space="preserve"> </w:t>
      </w:r>
      <w:r>
        <w:t xml:space="preserve">12:2825-2830 (2011).</w:t>
      </w:r>
      <w:r>
        <w:t xml:space="preserve"> </w:t>
      </w:r>
      <w:hyperlink r:id="rId16">
        <w:r>
          <w:rPr>
            <w:rStyle w:val="Hyperlink"/>
          </w:rPr>
          <w:t xml:space="preserve">jmlr.org/papers/v12/pedregosa11a.html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Rosen Y, et al. Universal cell embedding provides a foundation model for cell biology (UCE).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(2026).</w:t>
      </w:r>
      <w:r>
        <w:t xml:space="preserve"> </w:t>
      </w:r>
      <w:hyperlink r:id="rId43">
        <w:r>
          <w:rPr>
            <w:rStyle w:val="Hyperlink"/>
          </w:rPr>
          <w:t xml:space="preserve">doi:10.1038/s41586-026-10689-z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Sarkar S, Li Z, Molla G, et al. Organism-scale annotation with Pan-human Azimuth.</w:t>
      </w:r>
      <w:r>
        <w:t xml:space="preserve"> </w:t>
      </w:r>
      <w:r>
        <w:rPr>
          <w:i/>
          <w:iCs/>
        </w:rPr>
        <w:t xml:space="preserve">bioRxiv</w:t>
      </w:r>
      <w:r>
        <w:t xml:space="preserve"> </w:t>
      </w:r>
      <w:r>
        <w:t xml:space="preserve">(2026).</w:t>
      </w:r>
      <w:r>
        <w:t xml:space="preserve"> </w:t>
      </w:r>
      <w:hyperlink r:id="rId25">
        <w:r>
          <w:rPr>
            <w:rStyle w:val="Hyperlink"/>
          </w:rPr>
          <w:t xml:space="preserve">doi:10.64898/2026.07.16.738997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Sikkema L, et al. An integrated cell atlas of the lung in health and disease (HLCA).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29:1563-1577 (2023).</w:t>
      </w:r>
      <w:r>
        <w:t xml:space="preserve"> </w:t>
      </w:r>
      <w:hyperlink r:id="rId28">
        <w:r>
          <w:rPr>
            <w:rStyle w:val="Hyperlink"/>
          </w:rPr>
          <w:t xml:space="preserve">doi:10.1038/s41591-023-02327-2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Souza H, Mehta P. Parameter-free representations outperform single-cell foundation models on downstream benchmarks.</w:t>
      </w:r>
      <w:r>
        <w:t xml:space="preserve"> </w:t>
      </w:r>
      <w:r>
        <w:rPr>
          <w:i/>
          <w:iCs/>
        </w:rPr>
        <w:t xml:space="preserve">bioRxiv</w:t>
      </w:r>
      <w:r>
        <w:t xml:space="preserve"> </w:t>
      </w:r>
      <w:r>
        <w:t xml:space="preserve">(2026).</w:t>
      </w:r>
      <w:r>
        <w:t xml:space="preserve"> </w:t>
      </w:r>
      <w:hyperlink r:id="rId88">
        <w:r>
          <w:rPr>
            <w:rStyle w:val="Hyperlink"/>
          </w:rPr>
          <w:t xml:space="preserve">doi:10.64898/2026.02.11.705358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Travaglini KJ, Nabhan AN, Penland L, et al. A molecular cell atlas of the human lung from single-cell RNA sequencing.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587(7835):619-625 (2020).</w:t>
      </w:r>
      <w:r>
        <w:t xml:space="preserve"> </w:t>
      </w:r>
      <w:hyperlink r:id="rId27">
        <w:r>
          <w:rPr>
            <w:rStyle w:val="Hyperlink"/>
          </w:rPr>
          <w:t xml:space="preserve">doi:10.1038/s41586-020-2922-4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Xu C, et al. Probabilistic harmonization and annotation of single-cell transcriptomics data with deep generative models (scANVI).</w:t>
      </w:r>
      <w:r>
        <w:t xml:space="preserve"> </w:t>
      </w:r>
      <w:r>
        <w:rPr>
          <w:i/>
          <w:iCs/>
        </w:rPr>
        <w:t xml:space="preserve">Molecular Systems Biology</w:t>
      </w:r>
      <w:r>
        <w:t xml:space="preserve"> </w:t>
      </w:r>
      <w:r>
        <w:t xml:space="preserve">17:e9620 (2021).</w:t>
      </w:r>
      <w:r>
        <w:t xml:space="preserve"> </w:t>
      </w:r>
      <w:hyperlink r:id="rId21">
        <w:r>
          <w:rPr>
            <w:rStyle w:val="Hyperlink"/>
          </w:rPr>
          <w:t xml:space="preserve">doi:10.15252/msb.20209620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Yampolskaya M, Herriges MJ, Ikonomou L, Kotton DN, Mehta P. scTOP: physics-inspired order parameters for cellular identification and visualization.</w:t>
      </w:r>
      <w:r>
        <w:t xml:space="preserve"> </w:t>
      </w:r>
      <w:r>
        <w:rPr>
          <w:i/>
          <w:iCs/>
        </w:rPr>
        <w:t xml:space="preserve">Development</w:t>
      </w:r>
      <w:r>
        <w:t xml:space="preserve"> </w:t>
      </w:r>
      <w:r>
        <w:t xml:space="preserve">150(21):dev201873 (2023).</w:t>
      </w:r>
      <w:r>
        <w:t xml:space="preserve"> </w:t>
      </w:r>
      <w:hyperlink r:id="rId18">
        <w:r>
          <w:rPr>
            <w:rStyle w:val="Hyperlink"/>
          </w:rPr>
          <w:t xml:space="preserve">doi:10.1242/dev.201873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Munroe R. Standards.</w:t>
      </w:r>
      <w:r>
        <w:t xml:space="preserve"> </w:t>
      </w:r>
      <w:r>
        <w:rPr>
          <w:i/>
          <w:iCs/>
        </w:rPr>
        <w:t xml:space="preserve">xkcd</w:t>
      </w:r>
      <w:r>
        <w:t xml:space="preserve"> </w:t>
      </w:r>
      <w:r>
        <w:t xml:space="preserve">927.</w:t>
      </w:r>
      <w:r>
        <w:t xml:space="preserve"> </w:t>
      </w:r>
      <w:hyperlink r:id="rId11">
        <w:r>
          <w:rPr>
            <w:rStyle w:val="Hyperlink"/>
          </w:rPr>
          <w:t xml:space="preserve">xkcd.com/927</w:t>
        </w:r>
      </w:hyperlink>
      <w:r>
        <w:t xml:space="preserve">.</w:t>
      </w:r>
    </w:p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3" Target="media/rId73.png" /><Relationship Type="http://schemas.openxmlformats.org/officeDocument/2006/relationships/image" Id="rId70" Target="media/rId70.png" /><Relationship Type="http://schemas.openxmlformats.org/officeDocument/2006/relationships/image" Id="rId55" Target="media/rId55.png" /><Relationship Type="http://schemas.openxmlformats.org/officeDocument/2006/relationships/image" Id="rId48" Target="media/rId48.png" /><Relationship Type="http://schemas.openxmlformats.org/officeDocument/2006/relationships/image" Id="rId65" Target="media/rId65.png" /><Relationship Type="http://schemas.openxmlformats.org/officeDocument/2006/relationships/image" Id="rId58" Target="media/rId58.png" /><Relationship Type="http://schemas.openxmlformats.org/officeDocument/2006/relationships/image" Id="rId52" Target="media/rId52.png" /><Relationship Type="http://schemas.openxmlformats.org/officeDocument/2006/relationships/image" Id="rId62" Target="media/rId62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hyperlink" Id="rId36" Target="https://chanzuckerberg.github.io/cellxgene-census/" TargetMode="External" /><Relationship Type="http://schemas.openxmlformats.org/officeDocument/2006/relationships/hyperlink" Id="rId95" Target="https://creativecommons.org/licenses/by/4.0/" TargetMode="External" /><Relationship Type="http://schemas.openxmlformats.org/officeDocument/2006/relationships/hyperlink" Id="rId23" Target="https://doi.org/10.1016/j.xgen.2026.101217" TargetMode="External" /><Relationship Type="http://schemas.openxmlformats.org/officeDocument/2006/relationships/hyperlink" Id="rId20" Target="https://doi.org/10.1038/nmeth.4644" TargetMode="External" /><Relationship Type="http://schemas.openxmlformats.org/officeDocument/2006/relationships/hyperlink" Id="rId24" Target="https://doi.org/10.1038/s41467-025-58699-1" TargetMode="External" /><Relationship Type="http://schemas.openxmlformats.org/officeDocument/2006/relationships/hyperlink" Id="rId27" Target="https://doi.org/10.1038/s41586-020-2922-4" TargetMode="External" /><Relationship Type="http://schemas.openxmlformats.org/officeDocument/2006/relationships/hyperlink" Id="rId30" Target="https://doi.org/10.1038/s41586-026-10627-z" TargetMode="External" /><Relationship Type="http://schemas.openxmlformats.org/officeDocument/2006/relationships/hyperlink" Id="rId43" Target="https://doi.org/10.1038/s41586-026-10689-z" TargetMode="External" /><Relationship Type="http://schemas.openxmlformats.org/officeDocument/2006/relationships/hyperlink" Id="rId22" Target="https://doi.org/10.1038/s41587-021-01001-7" TargetMode="External" /><Relationship Type="http://schemas.openxmlformats.org/officeDocument/2006/relationships/hyperlink" Id="rId19" Target="https://doi.org/10.1038/s41590-018-0276-y" TargetMode="External" /><Relationship Type="http://schemas.openxmlformats.org/officeDocument/2006/relationships/hyperlink" Id="rId28" Target="https://doi.org/10.1038/s41591-023-02327-2" TargetMode="External" /><Relationship Type="http://schemas.openxmlformats.org/officeDocument/2006/relationships/hyperlink" Id="rId10" Target="https://doi.org/10.1093/bib/bbae392" TargetMode="External" /><Relationship Type="http://schemas.openxmlformats.org/officeDocument/2006/relationships/hyperlink" Id="rId13" Target="https://doi.org/10.1093/bioinformatics/btz592" TargetMode="External" /><Relationship Type="http://schemas.openxmlformats.org/officeDocument/2006/relationships/hyperlink" Id="rId17" Target="https://doi.org/10.1126/science.abl5197" TargetMode="External" /><Relationship Type="http://schemas.openxmlformats.org/officeDocument/2006/relationships/hyperlink" Id="rId44" Target="https://doi.org/10.1126/science.ade2574" TargetMode="External" /><Relationship Type="http://schemas.openxmlformats.org/officeDocument/2006/relationships/hyperlink" Id="rId79" Target="https://doi.org/10.1145/2939672.2939785" TargetMode="External" /><Relationship Type="http://schemas.openxmlformats.org/officeDocument/2006/relationships/hyperlink" Id="rId9" Target="https://doi.org/10.1186/s13059-019-1795-z" TargetMode="External" /><Relationship Type="http://schemas.openxmlformats.org/officeDocument/2006/relationships/hyperlink" Id="rId18" Target="https://doi.org/10.1242/dev.201873" TargetMode="External" /><Relationship Type="http://schemas.openxmlformats.org/officeDocument/2006/relationships/hyperlink" Id="rId21" Target="https://doi.org/10.15252/msb.20209620" TargetMode="External" /><Relationship Type="http://schemas.openxmlformats.org/officeDocument/2006/relationships/hyperlink" Id="rId96" Target="https://doi.org/10.5281/zenodo.20401417" TargetMode="External" /><Relationship Type="http://schemas.openxmlformats.org/officeDocument/2006/relationships/hyperlink" Id="rId94" Target="https://doi.org/10.5281/zenodo.21688150" TargetMode="External" /><Relationship Type="http://schemas.openxmlformats.org/officeDocument/2006/relationships/hyperlink" Id="rId93" Target="https://doi.org/10.5281/zenodo.21688151" TargetMode="External" /><Relationship Type="http://schemas.openxmlformats.org/officeDocument/2006/relationships/hyperlink" Id="rId91" Target="https://doi.org/10.5281/zenodo.21911372" TargetMode="External" /><Relationship Type="http://schemas.openxmlformats.org/officeDocument/2006/relationships/hyperlink" Id="rId88" Target="https://doi.org/10.64898/2026.02.11.705358" TargetMode="External" /><Relationship Type="http://schemas.openxmlformats.org/officeDocument/2006/relationships/hyperlink" Id="rId29" Target="https://doi.org/10.64898/2026.06.30.735539" TargetMode="External" /><Relationship Type="http://schemas.openxmlformats.org/officeDocument/2006/relationships/hyperlink" Id="rId25" Target="https://doi.org/10.64898/2026.07.16.738997" TargetMode="External" /><Relationship Type="http://schemas.openxmlformats.org/officeDocument/2006/relationships/hyperlink" Id="rId68" Target="https://doi.org/10.7554/eLife.59928" TargetMode="External" /><Relationship Type="http://schemas.openxmlformats.org/officeDocument/2006/relationships/hyperlink" Id="rId92" Target="https://github.com/iandriver/actinn-jax" TargetMode="External" /><Relationship Type="http://schemas.openxmlformats.org/officeDocument/2006/relationships/hyperlink" Id="rId33" Target="https://github.com/iandriver/actinn-jax-benchmark" TargetMode="External" /><Relationship Type="http://schemas.openxmlformats.org/officeDocument/2006/relationships/hyperlink" Id="rId14" Target="https://github.com/jax-ml/jax" TargetMode="External" /><Relationship Type="http://schemas.openxmlformats.org/officeDocument/2006/relationships/hyperlink" Id="rId41" Target="https://openproblems.bio" TargetMode="External" /><Relationship Type="http://schemas.openxmlformats.org/officeDocument/2006/relationships/hyperlink" Id="rId78" Target="https://openproblems.bio/benchmarks/label_projection" TargetMode="External" /><Relationship Type="http://schemas.openxmlformats.org/officeDocument/2006/relationships/hyperlink" Id="rId31" Target="https://www.10xgenomics.com/datasets/3-k-pbm-cs-from-a-healthy-donor-1-standard-1-1-0" TargetMode="External" /><Relationship Type="http://schemas.openxmlformats.org/officeDocument/2006/relationships/hyperlink" Id="rId16" Target="https://www.jmlr.org/papers/v12/pedregosa11a.html" TargetMode="External" /><Relationship Type="http://schemas.openxmlformats.org/officeDocument/2006/relationships/hyperlink" Id="rId11" Target="https://xkcd.com/927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chanzuckerberg.github.io/cellxgene-census/" TargetMode="External" /><Relationship Type="http://schemas.openxmlformats.org/officeDocument/2006/relationships/hyperlink" Id="rId95" Target="https://creativecommons.org/licenses/by/4.0/" TargetMode="External" /><Relationship Type="http://schemas.openxmlformats.org/officeDocument/2006/relationships/hyperlink" Id="rId23" Target="https://doi.org/10.1016/j.xgen.2026.101217" TargetMode="External" /><Relationship Type="http://schemas.openxmlformats.org/officeDocument/2006/relationships/hyperlink" Id="rId20" Target="https://doi.org/10.1038/nmeth.4644" TargetMode="External" /><Relationship Type="http://schemas.openxmlformats.org/officeDocument/2006/relationships/hyperlink" Id="rId24" Target="https://doi.org/10.1038/s41467-025-58699-1" TargetMode="External" /><Relationship Type="http://schemas.openxmlformats.org/officeDocument/2006/relationships/hyperlink" Id="rId27" Target="https://doi.org/10.1038/s41586-020-2922-4" TargetMode="External" /><Relationship Type="http://schemas.openxmlformats.org/officeDocument/2006/relationships/hyperlink" Id="rId30" Target="https://doi.org/10.1038/s41586-026-10627-z" TargetMode="External" /><Relationship Type="http://schemas.openxmlformats.org/officeDocument/2006/relationships/hyperlink" Id="rId43" Target="https://doi.org/10.1038/s41586-026-10689-z" TargetMode="External" /><Relationship Type="http://schemas.openxmlformats.org/officeDocument/2006/relationships/hyperlink" Id="rId22" Target="https://doi.org/10.1038/s41587-021-01001-7" TargetMode="External" /><Relationship Type="http://schemas.openxmlformats.org/officeDocument/2006/relationships/hyperlink" Id="rId19" Target="https://doi.org/10.1038/s41590-018-0276-y" TargetMode="External" /><Relationship Type="http://schemas.openxmlformats.org/officeDocument/2006/relationships/hyperlink" Id="rId28" Target="https://doi.org/10.1038/s41591-023-02327-2" TargetMode="External" /><Relationship Type="http://schemas.openxmlformats.org/officeDocument/2006/relationships/hyperlink" Id="rId10" Target="https://doi.org/10.1093/bib/bbae392" TargetMode="External" /><Relationship Type="http://schemas.openxmlformats.org/officeDocument/2006/relationships/hyperlink" Id="rId13" Target="https://doi.org/10.1093/bioinformatics/btz592" TargetMode="External" /><Relationship Type="http://schemas.openxmlformats.org/officeDocument/2006/relationships/hyperlink" Id="rId17" Target="https://doi.org/10.1126/science.abl5197" TargetMode="External" /><Relationship Type="http://schemas.openxmlformats.org/officeDocument/2006/relationships/hyperlink" Id="rId44" Target="https://doi.org/10.1126/science.ade2574" TargetMode="External" /><Relationship Type="http://schemas.openxmlformats.org/officeDocument/2006/relationships/hyperlink" Id="rId79" Target="https://doi.org/10.1145/2939672.2939785" TargetMode="External" /><Relationship Type="http://schemas.openxmlformats.org/officeDocument/2006/relationships/hyperlink" Id="rId9" Target="https://doi.org/10.1186/s13059-019-1795-z" TargetMode="External" /><Relationship Type="http://schemas.openxmlformats.org/officeDocument/2006/relationships/hyperlink" Id="rId18" Target="https://doi.org/10.1242/dev.201873" TargetMode="External" /><Relationship Type="http://schemas.openxmlformats.org/officeDocument/2006/relationships/hyperlink" Id="rId21" Target="https://doi.org/10.15252/msb.20209620" TargetMode="External" /><Relationship Type="http://schemas.openxmlformats.org/officeDocument/2006/relationships/hyperlink" Id="rId96" Target="https://doi.org/10.5281/zenodo.20401417" TargetMode="External" /><Relationship Type="http://schemas.openxmlformats.org/officeDocument/2006/relationships/hyperlink" Id="rId94" Target="https://doi.org/10.5281/zenodo.21688150" TargetMode="External" /><Relationship Type="http://schemas.openxmlformats.org/officeDocument/2006/relationships/hyperlink" Id="rId93" Target="https://doi.org/10.5281/zenodo.21688151" TargetMode="External" /><Relationship Type="http://schemas.openxmlformats.org/officeDocument/2006/relationships/hyperlink" Id="rId91" Target="https://doi.org/10.5281/zenodo.21911372" TargetMode="External" /><Relationship Type="http://schemas.openxmlformats.org/officeDocument/2006/relationships/hyperlink" Id="rId88" Target="https://doi.org/10.64898/2026.02.11.705358" TargetMode="External" /><Relationship Type="http://schemas.openxmlformats.org/officeDocument/2006/relationships/hyperlink" Id="rId29" Target="https://doi.org/10.64898/2026.06.30.735539" TargetMode="External" /><Relationship Type="http://schemas.openxmlformats.org/officeDocument/2006/relationships/hyperlink" Id="rId25" Target="https://doi.org/10.64898/2026.07.16.738997" TargetMode="External" /><Relationship Type="http://schemas.openxmlformats.org/officeDocument/2006/relationships/hyperlink" Id="rId68" Target="https://doi.org/10.7554/eLife.59928" TargetMode="External" /><Relationship Type="http://schemas.openxmlformats.org/officeDocument/2006/relationships/hyperlink" Id="rId92" Target="https://github.com/iandriver/actinn-jax" TargetMode="External" /><Relationship Type="http://schemas.openxmlformats.org/officeDocument/2006/relationships/hyperlink" Id="rId33" Target="https://github.com/iandriver/actinn-jax-benchmark" TargetMode="External" /><Relationship Type="http://schemas.openxmlformats.org/officeDocument/2006/relationships/hyperlink" Id="rId14" Target="https://github.com/jax-ml/jax" TargetMode="External" /><Relationship Type="http://schemas.openxmlformats.org/officeDocument/2006/relationships/hyperlink" Id="rId41" Target="https://openproblems.bio" TargetMode="External" /><Relationship Type="http://schemas.openxmlformats.org/officeDocument/2006/relationships/hyperlink" Id="rId78" Target="https://openproblems.bio/benchmarks/label_projection" TargetMode="External" /><Relationship Type="http://schemas.openxmlformats.org/officeDocument/2006/relationships/hyperlink" Id="rId31" Target="https://www.10xgenomics.com/datasets/3-k-pbm-cs-from-a-healthy-donor-1-standard-1-1-0" TargetMode="External" /><Relationship Type="http://schemas.openxmlformats.org/officeDocument/2006/relationships/hyperlink" Id="rId16" Target="https://www.jmlr.org/papers/v12/pedregosa11a.html" TargetMode="External" /><Relationship Type="http://schemas.openxmlformats.org/officeDocument/2006/relationships/hyperlink" Id="rId11" Target="https://xkcd.com/927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benchmark of cell-type annotation methods for single-cell data: cost, not accuracy, distinguishes them</dc:title>
  <dc:creator>Ian Driver</dc:creator>
  <cp:keywords/>
  <dcterms:created xsi:type="dcterms:W3CDTF">2026-08-18T15:12:21Z</dcterms:created>
  <dcterms:modified xsi:type="dcterms:W3CDTF">2026-08-18T15:12:21Z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Cell-type annotation by reference mapping is one of the most repeated operations in single-cell analysis, yet comparisons report accuracy far more often than the time and memory that decide what a scientist can actually run. We benchmarked thirteen methods, classical through foundation-model, across eight splits of seven datasets (8–151 cell types) on commodity hardware, and on Open Problems label_projection, whose datasets and metrics we did not choose. Accuracy among the leading methods is tightly clustered — the top four span 0.008 — while their inference cost differs by two orders of magnitude and their peak memory by 2.5×. No method leads everywhere, and no ordering is stable: it inverts with reference size, feature budget and label granularity. Because annotation is this cheap, a query can be labelled several times rather than once. We ran three procedures that do so, all using actinn-jax, a JAX reimplementation of ACTINN that caches a trained reference and labels a query in under a second. A 798-type human reference assigns a tissue, and a tissue-specific reference then relabels the same cells, raising cross-study liver from 0.23 exact / 0.58 ontology to 0.72 / 0.86. A pretrained pan-human annotator was distilled into an actinn-jax reference that matches its accuracy and labels six to nine times faster, built from unlabelled data without a GPU. Running three broad references over one query and grouping cells by whether the three agree separates reliable calls from unreliable ones: in liver, lung and brain every reference scores far higher where all three agree, though the consensus label beats no single reference. Code and pre-trained references are available at github.com/iandriver/actinn-jax, github.com/iandriver/actinn-jax-benchmark and doi:10.5281/zenodo.21688150.</vt:lpwstr>
  </property>
  <property fmtid="{D5CDD505-2E9C-101B-9397-08002B2CF9AE}" pid="3" name="date">
    <vt:lpwstr/>
  </property>
</Properties>
</file>