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Accuracy and macro-F1 in Table 10</w:t>
      </w:r>
      <w:r>
        <w:t xml:space="preserve"> </w:t>
      </w:r>
      <w:r>
        <w:t xml:space="preserve">come from one run of the pipeline covering all eleven methods.</w:t>
      </w:r>
    </w:p>
    <w:p>
      <w:pPr>
        <w:pStyle w:val="BodyText"/>
      </w:pPr>
      <w:r>
        <w:t xml:space="preserve">Cost is reported as a</w:t>
      </w:r>
      <w:r>
        <w:t xml:space="preserve"> </w:t>
      </w:r>
      <w:r>
        <w:rPr>
          <w:b/>
          <w:bCs/>
        </w:rPr>
        <w:t xml:space="preserve">ratio to actinn-jax measured in the same run</w:t>
      </w:r>
      <w:r>
        <w:t xml:space="preserve">, for that reason.</w:t>
      </w:r>
      <w:r>
        <w:t xml:space="preserve"> </w:t>
      </w:r>
      <w:r>
        <w:t xml:space="preserve">Two runs were needed to cover eleven methods, and actinn-jax was included in both as an</w:t>
      </w:r>
      <w:r>
        <w:t xml:space="preserve"> </w:t>
      </w:r>
      <w:r>
        <w:t xml:space="preserve">anchor: it averaged 165 s/dataset alongside OP’s seven and 87 s/dataset alongside our four,</w:t>
      </w:r>
      <w:r>
        <w:t xml:space="preserve"> </w:t>
      </w:r>
      <w:r>
        <w:t xml:space="preserve">on the same instance type with the same executor settings. The difference is what</w:t>
      </w:r>
      <w:r>
        <w:t xml:space="preserve"> </w:t>
      </w:r>
      <w:r>
        <w:t xml:space="preserve">co-scheduling does — the seven-method run held 196 GB of inputs and included an 81 GB</w:t>
      </w:r>
      <w:r>
        <w:t xml:space="preserve"> </w:t>
      </w:r>
      <w:r>
        <w:t xml:space="preserve">xgboost task, the five-method run held 60 GB and fitted entirely in page cache. Absolute</w:t>
      </w:r>
      <w:r>
        <w:t xml:space="preserve"> </w:t>
      </w:r>
      <w:r>
        <w:t xml:space="preserve">seconds are therefore not comparable across the two, while ratios measured within one are;</w:t>
      </w:r>
      <w:r>
        <w:t xml:space="preserve"> </w:t>
      </w:r>
      <w:r>
        <w:t xml:space="preserve">the anchor is what joins them. Peak memory, which does not move with contention, is reported</w:t>
      </w:r>
      <w:r>
        <w:t xml:space="preserve"> </w:t>
      </w:r>
      <w:r>
        <w:t xml:space="preserve">as measured.</w:t>
      </w:r>
    </w:p>
    <w:p>
      <w:pPr>
        <w:pStyle w:val="BodyText"/>
      </w:pPr>
      <w:r>
        <w:t xml:space="preserve">Neither run’s wall-clock came from snapshot-restored storage. An earlier attempt did, and</w:t>
      </w:r>
      <w:r>
        <w:t xml:space="preserve"> </w:t>
      </w:r>
      <w:r>
        <w:t xml:space="preserve">EBS fetching blocks from S3 on first access left tasks on the larger atlases at 0.5–1% CPU</w:t>
      </w:r>
      <w:r>
        <w:t xml:space="preserve"> </w:t>
      </w:r>
      <w:r>
        <w:t xml:space="preserve">for 30–60 minutes; that run supplies accuracy only.</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Same-hardware accuracy, speed and memory.</w:t>
      </w:r>
      <w:r>
        <w:t xml:space="preserve"> </w:t>
      </w:r>
      <w:r>
        <w:t xml:space="preserve">Every method ran through OP’s</w:t>
      </w:r>
      <w:r>
        <w:t xml:space="preserve"> </w:t>
      </w:r>
      <w:r>
        <w:rPr>
          <w:i/>
          <w:iCs/>
        </w:rPr>
        <w:t xml:space="preserve">own</w:t>
      </w:r>
      <w:r>
        <w:t xml:space="preserve"> </w:t>
      </w:r>
      <w:r>
        <w:t xml:space="preserve">Nextflow</w:t>
      </w:r>
      <w:r>
        <w:t xml:space="preserve"> </w:t>
      </w:r>
      <w:r>
        <w:t xml:space="preserve">pipeline on a single AWS</w:t>
      </w:r>
      <w:r>
        <w:t xml:space="preserve"> </w:t>
      </w:r>
      <w:r>
        <w:rPr>
          <w:rStyle w:val="VerbatimChar"/>
        </w:rPr>
        <w:t xml:space="preserve">r7i.8xlarge</w:t>
      </w:r>
      <w:r>
        <w:t xml:space="preserve"> </w:t>
      </w:r>
      <w:r>
        <w:t xml:space="preserve">— identical hardware, harness and instrumentation</w:t>
      </w:r>
      <w:r>
        <w:t xml:space="preserve"> </w:t>
      </w:r>
      <w:r>
        <w:t xml:space="preserve">throughout. Means over the six datasets: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 to the benchmark.</w:t>
      </w:r>
      <w:r>
        <w:t xml:space="preserve"> </w:t>
      </w:r>
      <w:r>
        <w:rPr>
          <w:i/>
          <w:iCs/>
        </w:rPr>
        <w:t xml:space="preserve">cost</w:t>
      </w:r>
      <w:r>
        <w:t xml:space="preserve"> </w:t>
      </w:r>
      <w:r>
        <w:t xml:space="preserve">is per-dataset wall-clock</w:t>
      </w:r>
      <w:r>
        <w:t xml:space="preserve"> </w:t>
      </w:r>
      <w:r>
        <w:t xml:space="preserve">relative to actinn-jax on the same box (§2.10); at actinn-jax’s measured 87–165 s/dataset,</w:t>
      </w:r>
      <w:r>
        <w:t xml:space="preserve"> </w:t>
      </w:r>
      <w:r>
        <w:t xml:space="preserve">1.00× is roughly two minutes.</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w:t>
      </w:r>
      <w:r>
        <w:t xml:space="preserve">and</w:t>
      </w:r>
      <w:r>
        <w:t xml:space="preserve"> </w:t>
      </w:r>
      <w:r>
        <w:rPr>
          <w:b/>
          <w:bCs/>
        </w:rPr>
        <w:t xml:space="preserve">beats xgboost’s</w:t>
      </w:r>
      <w:r>
        <w:rPr>
          <w:b/>
          <w:bCs/>
        </w:rPr>
        <w:t xml:space="preserve"> </w:t>
      </w:r>
      <w:r>
        <w:rPr>
          <w:b/>
          <w:bCs/>
        </w:rPr>
        <w:t xml:space="preserve">accuracy at 5.5× less runtime and 4× less memory</w:t>
      </w:r>
      <w:r>
        <w:t xml:space="preserve"> </w:t>
      </w:r>
      <w:r>
        <w:t xml:space="preserve">(21 vs 81 GB). The methods that are</w:t>
      </w:r>
      <w:r>
        <w:t xml:space="preserve"> </w:t>
      </w:r>
      <w:r>
        <w:t xml:space="preserve">cheaper — knn, logistic_regression, naive_bayes, scTOP — are all less accurate; the more</w:t>
      </w:r>
      <w:r>
        <w:t xml:space="preserve"> </w:t>
      </w:r>
      <w:r>
        <w:t xml:space="preserve">accurate heavyweight is far slower and heavier. Nothing here beats actinn-jax on accuracy</w:t>
      </w:r>
      <w:r>
        <w:t xml:space="preserve"> </w:t>
      </w:r>
      <w:r>
        <w:t xml:space="preserve">and cost at once.</w:t>
      </w:r>
    </w:p>
    <w:p>
      <w:pPr>
        <w:pStyle w:val="BodyText"/>
      </w:pPr>
      <w:r>
        <w:rPr>
          <w:b/>
          <w:bCs/>
        </w:rPr>
        <w:t xml:space="preserve">The cheapest method on our own panel is not the cheapest here.</w:t>
      </w:r>
      <w:r>
        <w:t xml:space="preserve"> </w:t>
      </w:r>
      <w:r>
        <w:t xml:space="preserve">The tuned linear pipeline</w:t>
      </w:r>
      <w:r>
        <w:t xml:space="preserve"> </w:t>
      </w:r>
      <w:r>
        <w:t xml:space="preserve">fits 7× faster than actinn-jax on the in-house panel (§3.1) and costs</w:t>
      </w:r>
      <w:r>
        <w:t xml:space="preserve"> </w:t>
      </w:r>
      <w:r>
        <w:rPr>
          <w:b/>
          <w:bCs/>
        </w:rPr>
        <w:t xml:space="preserve">2.7× more</w:t>
      </w:r>
      <w:r>
        <w:t xml:space="preserve"> </w:t>
      </w:r>
      <w:r>
        <w:t xml:space="preserve">on Open</w:t>
      </w:r>
      <w:r>
        <w:t xml:space="preserve"> </w:t>
      </w:r>
      <w:r>
        <w:t xml:space="preserve">Problems. The difference is the input: OP hands every method 1,000 HVGs, and an</w:t>
      </w:r>
      <w:r>
        <w:t xml:space="preserve"> </w:t>
      </w:r>
      <w:r>
        <w:t xml:space="preserve">ANOVA→PCA→logistic pipeline pays for the decomposition on every query, while a gene-space</w:t>
      </w:r>
      <w:r>
        <w:t xml:space="preserve"> </w:t>
      </w:r>
      <w:r>
        <w:t xml:space="preserve">MLP amortizes its cost into a single fit. CellTypist (7.6×) and the SGD-SVM (6.1×) shift the</w:t>
      </w:r>
      <w:r>
        <w:t xml:space="preserve"> </w:t>
      </w:r>
      <w:r>
        <w:t xml:space="preserve">same way. Cost rankings do not survive a change of feature budget.</w:t>
      </w:r>
    </w:p>
    <w:p>
      <w:pPr>
        <w:pStyle w:val="BodyText"/>
      </w:pPr>
      <w:r>
        <w:rPr>
          <w:b/>
          <w:bCs/>
        </w:rPr>
        <w:t xml:space="preserve">The tuned linear pipeline does not repeat its §3.1 win</w:t>
      </w:r>
      <w:r>
        <w:t xml:space="preserve">: 0.828 places it third, behind</w:t>
      </w:r>
      <w:r>
        <w:t xml:space="preserve"> </w:t>
      </w:r>
      <w:r>
        <w:rPr>
          <w:rStyle w:val="VerbatimChar"/>
        </w:rPr>
        <w:t xml:space="preserve">mlp</w:t>
      </w:r>
      <w:r>
        <w:t xml:space="preserve"> </w:t>
      </w:r>
      <w:r>
        <w:t xml:space="preserve">and actinn-jax and ahead of OP’s own</w:t>
      </w:r>
      <w:r>
        <w:t xml:space="preserve"> </w:t>
      </w:r>
      <w:r>
        <w:rPr>
          <w:rStyle w:val="VerbatimChar"/>
        </w:rPr>
        <w:t xml:space="preserve">logistic_regression</w:t>
      </w:r>
      <w:r>
        <w:t xml:space="preserve"> </w:t>
      </w:r>
      <w:r>
        <w:t xml:space="preserve">(0.813). The SGD-SVM (0.816)</w:t>
      </w:r>
      <w:r>
        <w:t xml:space="preserve"> </w:t>
      </w:r>
      <w:r>
        <w:t xml:space="preserve">and CellTypist (0.810) land in the same band. Its lead on our own panel therefore does not</w:t>
      </w:r>
      <w:r>
        <w:t xml:space="preserve"> </w:t>
      </w:r>
      <w:r>
        <w:t xml:space="preserve">generalize: whichever panel is asked, the answer is a cluster within a couple of points, but</w:t>
      </w:r>
      <w:r>
        <w:t xml:space="preserve"> </w:t>
      </w:r>
      <w:r>
        <w:t xml:space="preserve">which method tops the cluster changes with the datasets.</w:t>
      </w:r>
      <w:r>
        <w:t xml:space="preserve"> </w:t>
      </w:r>
      <w:r>
        <w:rPr>
          <w:rStyle w:val="VerbatimChar"/>
        </w:rPr>
        <w:t xml:space="preserve">logistic_regression</w:t>
      </w:r>
      <w:r>
        <w:t xml:space="preserve"> </w:t>
      </w:r>
      <w:r>
        <w:t xml:space="preserve">takes macro-F1</w:t>
      </w:r>
      <w:r>
        <w:t xml:space="preserve"> </w:t>
      </w:r>
      <w:r>
        <w:t xml:space="preserve">(0.689) while sitting fifth on accuracy — across datasets spanning 13 to 160 cell types, the</w:t>
      </w:r>
      <w:r>
        <w:t xml:space="preserve"> </w:t>
      </w:r>
      <w:r>
        <w:t xml:space="preserve">two metrics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w:t>
      </w:r>
      <w:r>
        <w:rPr>
          <w:rStyle w:val="VerbatimChar"/>
        </w:rPr>
        <w:t xml:space="preserve">SIMPLE_BASELINES.md</w:t>
      </w:r>
      <w:r>
        <w:t xml:space="preserve">).</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2026-08-07T17:40:07Z</dcterms:created>
  <dcterms:modified xsi:type="dcterms:W3CDTF">2026-08-07T17:40:07Z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