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13-method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spanning classical, regularized-linear, parameter-free, correlation, deep-probabilistic, prototype-VAE and foundation-model families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 0.008 — while their inference cost differs by two orders of magnitude and their peak memory by 2.4×. No method leads everywhere: the ordering inverts with reference size,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w:t>
      </w:r>
      <w:r>
        <w:t xml:space="preserve"> </w:t>
      </w:r>
      <w:r>
        <w:rPr>
          <w:b/>
          <w:bCs/>
        </w:rPr>
        <w:t xml:space="preserve">Pan-human Azimuth</w:t>
      </w:r>
      <w:r>
        <w:t xml:space="preserve">, a concurrent purpose-built pan-human annotator, can be distilled into such a reference from raw counts alone — no GPU, no labeled input — matching the teacher’s concordance at 6–9× its throughput. We release the reimplementation (actinn-jax),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~260×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Several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is somebody else’s benchmark.</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toolchains.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w:t>
      </w:r>
    </w:p>
    <w:p>
      <w:pPr>
        <w:pStyle w:val="BodyText"/>
      </w:pPr>
      <w:r>
        <w:rPr>
          <w:b/>
          <w:bCs/>
        </w:rPr>
        <w:t xml:space="preserve">Supplementary material</w:t>
      </w:r>
      <w:r>
        <w:t xml:space="preserve"> </w:t>
      </w:r>
      <w:r>
        <w:t xml:space="preserve">(separate document) contains Figures S1–S5 — confusion matrices</w:t>
      </w:r>
      <w:r>
        <w:t xml:space="preserve"> </w:t>
      </w:r>
      <w:r>
        <w:t xml:space="preserve">with ontology-equivalent errors outlined, the abstain trade-off, and per-class recall for</w:t>
      </w:r>
      <w:r>
        <w:t xml:space="preserve"> </w:t>
      </w:r>
      <w:r>
        <w:t xml:space="preserve">eleven methods on three splits — 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28"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~260× in</w:t>
      </w:r>
      <w:r>
        <w:rPr>
          <w:b/>
          <w:bCs/>
        </w:rPr>
        <w:t xml:space="preserve"> </w:t>
      </w:r>
      <w:r>
        <w:rPr>
          <w:b/>
          <w:bCs/>
        </w:rPr>
        <w:t xml:space="preserve">predict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means over the benchmark panel; bold marks the best value in</w:t>
      </w:r>
      <w:r>
        <w:t xml:space="preserve"> </w:t>
      </w:r>
      <w:r>
        <w:t xml:space="preserve">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17"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Conclusions from subsampled references do not</w:t>
      </w:r>
      <w:r>
        <w:t xml:space="preserve"> </w:t>
      </w:r>
      <w:r>
        <w:t xml:space="preserve">transfer to atlas scale in either direction.</w:t>
      </w:r>
    </w:p>
    <w:p>
      <w:pPr>
        <w:pStyle w:val="BodyText"/>
      </w:pPr>
      <w:r>
        <w:t xml:space="preserve">External validation inverts a different axis. On Open Problems — datasets, metrics and ranking</w:t>
      </w:r>
      <w:r>
        <w:t xml:space="preserve"> </w:t>
      </w:r>
      <w:r>
        <w:t xml:space="preserve">not ours — all eleven methods were run through one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inside four</w:t>
      </w:r>
      <w:r>
        <w:t xml:space="preserve"> </w:t>
      </w:r>
      <w:r>
        <w:t xml:space="preserve">ordinary results, traced to the fixed feature budget.</w:t>
      </w:r>
    </w:p>
    <w:bookmarkEnd w:id="17"/>
    <w:bookmarkStart w:id="21" w:name="inference-cost-is-flat-in-reference-size"/>
    <w:p>
      <w:pPr>
        <w:pStyle w:val="Heading2"/>
      </w:pPr>
      <w:r>
        <w:t xml:space="preserve">Inference cost is flat in reference size</w:t>
      </w:r>
    </w:p>
    <w:p>
      <w:pPr>
        <w:pStyle w:val="FirstParagraph"/>
      </w:pPr>
      <w:r>
        <w:t xml:space="preserve">Training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1).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p>
    <w:p>
      <w:pPr>
        <w:pStyle w:val="BodyText"/>
      </w:pPr>
      <w:r>
        <w:drawing>
          <wp:inline>
            <wp:extent cx="5334000" cy="1970216"/>
            <wp:effectExtent b="0" l="0" r="0" t="0"/>
            <wp:docPr descr="scaling" title="" id="19" name="Picture"/>
            <a:graphic>
              <a:graphicData uri="http://schemas.openxmlformats.org/drawingml/2006/picture">
                <pic:pic>
                  <pic:nvPicPr>
                    <pic:cNvPr descr="/Users/iandriver/Downloads/actinn-jax-benchmark/docs/figures/fig_scaling.png" id="20" name="Picture"/>
                    <pic:cNvPicPr>
                      <a:picLocks noChangeArrowheads="1" noChangeAspect="1"/>
                    </pic:cNvPicPr>
                  </pic:nvPicPr>
                  <pic:blipFill>
                    <a:blip r:embed="rId18"/>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Fit and prediction time against reference size and label cardinality. Fit grows</w:t>
      </w:r>
      <w:r>
        <w:t xml:space="preserve"> </w:t>
      </w:r>
      <w:r>
        <w:t xml:space="preserve">for every trained method; prediction stays flat and sub-second across the whole range.</w:t>
      </w:r>
    </w:p>
    <w:bookmarkEnd w:id="21"/>
    <w:bookmarkStart w:id="25"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2).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3" name="Picture"/>
            <a:graphic>
              <a:graphicData uri="http://schemas.openxmlformats.org/drawingml/2006/picture">
                <pic:pic>
                  <pic:nvPicPr>
                    <pic:cNvPr descr="/Users/iandriver/Downloads/actinn-jax-benchmark/docs/figures/fig_workflow_umap_ondata.png" id="24" name="Picture"/>
                    <pic:cNvPicPr>
                      <a:picLocks noChangeArrowheads="1" noChangeAspect="1"/>
                    </pic:cNvPicPr>
                  </pic:nvPicPr>
                  <pic:blipFill>
                    <a:blip r:embed="rId22"/>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5"/>
    <w:bookmarkStart w:id="26"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matches the teacher and beats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The 0.406/0.380 ordering is one query, and both actinn-jax models</w:t>
      </w:r>
      <w:r>
        <w:t xml:space="preserve"> </w:t>
      </w:r>
      <w:r>
        <w:t xml:space="preserve">draw on a census sample that may include these studies while Azimuth does not, so read the</w:t>
      </w:r>
      <w:r>
        <w:t xml:space="preserve"> </w:t>
      </w:r>
      <w:r>
        <w:t xml:space="preserve">student as level with its teacher rather than ahead of it. Deriving the hierarchy from Cell Ontology lineage instead of a foundation-model embedding</w:t>
      </w:r>
      <w:r>
        <w:t xml:space="preserve"> </w:t>
      </w:r>
      <w:r>
        <w:t xml:space="preserve">removes the GPU from the build entirely, and beats both no hierarchy (0.616 vs 0.547) and a</w:t>
      </w:r>
      <w:r>
        <w:t xml:space="preserve"> </w:t>
      </w:r>
      <w:r>
        <w:t xml:space="preserve">same-sized random grouping (0.539). That route also extends to a second organism: a pan-mouse</w:t>
      </w:r>
      <w:r>
        <w:t xml:space="preserve"> </w:t>
      </w:r>
      <w:r>
        <w:t xml:space="preserve">reference of 453 types across 85 tissues reaches 0.638 ontology concordance on two withheld</w:t>
      </w:r>
      <w:r>
        <w:t xml:space="preserve"> </w:t>
      </w:r>
      <w:r>
        <w:t xml:space="preserve">datasets after 17 s of CPU.</w:t>
      </w:r>
    </w:p>
    <w:bookmarkEnd w:id="26"/>
    <w:bookmarkStart w:id="27" w:name="Xc9c7bad4aecd06c09d0d5feaca47a6a3c3e0f37"/>
    <w:p>
      <w:pPr>
        <w:pStyle w:val="Heading2"/>
      </w:pPr>
      <w:r>
        <w:t xml:space="preserve">Abstention is tunable; zero-shot labels are not competitive</w:t>
      </w:r>
    </w:p>
    <w:p>
      <w:pPr>
        <w:pStyle w:val="FirstParagraph"/>
      </w:pPr>
      <w:r>
        <w:t xml:space="preserve">Withholding 9 of 36 cell types entirely, a confidence threshold trades coverage against</w:t>
      </w:r>
      <w:r>
        <w:t xml:space="preserve"> </w:t>
      </w:r>
      <w:r>
        <w:t xml:space="preserve">accuracy smoothly: accuracy on kept cells rises 0.885 → 0.969 as coverage falls 1.00 → 0.66</w:t>
      </w:r>
      <w:r>
        <w:t xml:space="preserve"> </w:t>
      </w:r>
      <w:r>
        <w:t xml:space="preserve">and out-of-distribution flagging climbs 0.00 → 0.73. A comparator with saturated probabilities</w:t>
      </w:r>
      <w:r>
        <w:t xml:space="preserve"> </w:t>
      </w:r>
      <w:r>
        <w:t xml:space="preserve">offers essentially one operating point instead of a curve. Separately,</w:t>
      </w:r>
      <w:r>
        <w:t xml:space="preserve"> </w:t>
      </w:r>
      <w:r>
        <w:t xml:space="preserve">a foundation model run zero-shot scored</w:t>
      </w:r>
      <w:r>
        <w:t xml:space="preserve"> </w:t>
      </w:r>
      <w:r>
        <w:rPr>
          <w:b/>
          <w:bCs/>
        </w:rPr>
        <w:t xml:space="preserve">0.201</w:t>
      </w:r>
      <w:r>
        <w:t xml:space="preserve"> </w:t>
      </w:r>
      <w:r>
        <w:t xml:space="preserve">ontology concordance against 0.894 for a</w:t>
      </w:r>
      <w:r>
        <w:t xml:space="preserve"> </w:t>
      </w:r>
      <w:r>
        <w:t xml:space="preserve">reference-trained model on the same data, taking ~280× longer — reproduced independently on</w:t>
      </w:r>
      <w:r>
        <w:t xml:space="preserve"> </w:t>
      </w:r>
      <w:r>
        <w:t xml:space="preserve">Open Problems, where zero-shot entries sit at the bottom of the leaderboard.</w:t>
      </w:r>
    </w:p>
    <w:bookmarkEnd w:id="27"/>
    <w:bookmarkEnd w:id="28"/>
    <w:bookmarkStart w:id="29"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A prototype VAE provides uncertainty, attribution and</w:t>
      </w:r>
      <w:r>
        <w:t xml:space="preserve"> </w:t>
      </w:r>
      <w:r>
        <w:t xml:space="preserve">a 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are in the extended report.</w:t>
      </w:r>
    </w:p>
    <w:bookmarkEnd w:id="29"/>
    <w:bookmarkStart w:id="52"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0">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1">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2">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3">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4">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5">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6">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37">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38">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39">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0">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1">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2">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3">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4">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5">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6">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47">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48">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49">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0">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1">
        <w:r>
          <w:rPr>
            <w:rStyle w:val="Hyperlink"/>
          </w:rPr>
          <w:t xml:space="preserve">xkcd.com/927</w:t>
        </w:r>
      </w:hyperlink>
      <w:r>
        <w:t xml:space="preserv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13-method benchmark of cost, scaling and workflow</dc:title>
  <dc:creator>Ian Driver</dc:creator>
  <cp:keywords/>
  <dcterms:created xsi:type="dcterms:W3CDTF">2026-08-09T15:21:24Z</dcterms:created>
  <dcterms:modified xsi:type="dcterms:W3CDTF">2026-08-09T15:21:24Z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spanning classical, regularized-linear, parameter-free, correlation, deep-probabilistic, prototype-VAE and foundation-model families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the ordering inverts with reference size,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 Pan-human Azimuth, a concurrent purpose-built pan-human annotator, can be distilled into such a reference from raw counts alone — no GPU, no labeled input — matching the teacher’s concordance at 6–9× its throughput. We release the reimplementation (actinn-jax), the harness, and the pre-trained references.</vt:lpwstr>
  </property>
  <property fmtid="{D5CDD505-2E9C-101B-9397-08002B2CF9AE}" pid="3" name="date">
    <vt:lpwstr/>
  </property>
</Properties>
</file>