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6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 pretrained pan-human annotator (Pan-human Azimuth),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fit and predict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~260× in predict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the leading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behavior from 3k to 49k reference cells. We then use actinn-jax to demonstrate</w:t>
      </w:r>
      <w:r>
        <w:t xml:space="preserve"> </w:t>
      </w:r>
      <w:r>
        <w:rPr>
          <w:b/>
          <w:bCs/>
        </w:rPr>
        <w:t xml:space="preserve">end-to-end workflows that a low, flat cost profile makes practical</w:t>
      </w:r>
      <w:r>
        <w:t xml:space="preserve"> </w:t>
      </w:r>
      <w:r>
        <w:t xml:space="preserve">— on human data, and on mouse via a hierarchy derived from the Cell Ontology that removes the GPU step from building a reference. The workflows are: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broad→focused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No part of this workflow is exclusive to actinn-jax: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6–9×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 the</w:t>
      </w:r>
      <w:r>
        <w:t xml:space="preserve"> </w:t>
      </w:r>
      <w:r>
        <w:t xml:space="preserve">TensorFlow-1.x original,</w:t>
      </w:r>
      <w:r>
        <w:t xml:space="preserve"> </w:t>
      </w:r>
      <w:r>
        <w:rPr>
          <w:b/>
          <w:bCs/>
        </w:rPr>
        <w:t xml:space="preserve">installs on current Python/ML environments</w:t>
      </w:r>
      <w:r>
        <w:t xml:space="preserve"> </w:t>
      </w:r>
      <w:r>
        <w:t xml:space="preserve">— the original’s</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 a</w:t>
      </w:r>
      <w:r>
        <w:t xml:space="preserve"> </w:t>
      </w:r>
      <w:r>
        <w:t xml:space="preserve">working scientist would accept it.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10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1"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2.</w:t>
      </w:r>
    </w:p>
    <w:p>
      <w:pPr>
        <w:pStyle w:val="BodyText"/>
      </w:pPr>
      <w:r>
        <w:t xml:space="preserve">The</w:t>
      </w:r>
      <w:r>
        <w:t xml:space="preserve"> </w:t>
      </w:r>
      <w:r>
        <w:rPr>
          <w:b/>
          <w:bCs/>
        </w:rPr>
        <w:t xml:space="preserve">tuned linear 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1"/>
    <w:bookmarkStart w:id="55"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§3.1.)</w:t>
      </w:r>
    </w:p>
    <w:bookmarkEnd w:id="55"/>
    <w:bookmarkStart w:id="59"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57" name="Picture"/>
            <a:graphic>
              <a:graphicData uri="http://schemas.openxmlformats.org/drawingml/2006/picture">
                <pic:pic>
                  <pic:nvPicPr>
                    <pic:cNvPr descr="/Users/iandriver/Downloads/actinn-jax-benchmark/docs/figures/fig_workflow_umap_ondata.png" id="58" name="Picture"/>
                    <pic:cNvPicPr>
                      <a:picLocks noChangeArrowheads="1" noChangeAspect="1"/>
                    </pic:cNvPicPr>
                  </pic:nvPicPr>
                  <pic:blipFill>
                    <a:blip r:embed="rId56"/>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Centre:</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(per-run</w:t>
      </w:r>
      <w:r>
        <w:t xml:space="preserve"> </w:t>
      </w:r>
      <w:r>
        <w:t xml:space="preserve">numbers in the</w:t>
      </w:r>
      <w:r>
        <w:t xml:space="preserve"> </w:t>
      </w:r>
      <w:hyperlink r:id="rId33">
        <w:r>
          <w:rPr>
            <w:rStyle w:val="Hyperlink"/>
          </w:rPr>
          <w:t xml:space="preserve">benchmark repository</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scores no better than no grouping at all (0.539 against 0.547), which rules</w:t>
      </w:r>
      <w:r>
        <w:t xml:space="preserve"> </w:t>
      </w:r>
      <w:r>
        <w:t xml:space="preserve">out the simplest explanation for the gain: that splitting 867 types into 29 smaller problems</w:t>
      </w:r>
      <w:r>
        <w:t xml:space="preserve"> </w:t>
      </w:r>
      <w:r>
        <w:t xml:space="preserve">makes each fine classifier’s job easier, something any split would do. What matters is</w:t>
      </w:r>
      <w:r>
        <w:t xml:space="preserve"> </w:t>
      </w:r>
      <w:r>
        <w:rPr>
          <w:i/>
          <w:iCs/>
        </w:rPr>
        <w:t xml:space="preserve">which</w:t>
      </w:r>
      <w:r>
        <w:t xml:space="preserve"> </w:t>
      </w:r>
      <w:r>
        <w:t xml:space="preserve">types share a group. Each group has its own fine classifier and the coarse call decides which</w:t>
      </w:r>
      <w:r>
        <w:t xml:space="preserve"> </w:t>
      </w:r>
      <w:r>
        <w:t xml:space="preserve">one ever sees the cell, so a group pays off only if the coarse classifier can recognize it</w:t>
      </w:r>
      <w:r>
        <w:t xml:space="preserve"> </w:t>
      </w:r>
      <w:r>
        <w:rPr>
          <w:i/>
          <w:iCs/>
        </w:rPr>
        <w:t xml:space="preserve">and</w:t>
      </w:r>
      <w:r>
        <w:t xml:space="preserve"> </w:t>
      </w:r>
      <w:r>
        <w:t xml:space="preserve">the right answer is inside it. Lineage groups manage both; groups of the same sizes</w:t>
      </w:r>
      <w:r>
        <w:t xml:space="preserve"> </w:t>
      </w:r>
      <w:r>
        <w:t xml:space="preserve">drawn at random manage 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two sets of numbers fall in a similar range but are not a</w:t>
      </w:r>
      <w:r>
        <w:t xml:space="preserve"> </w:t>
      </w:r>
      <w:r>
        <w:t xml:space="preserve">head-to-head comparison.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Returning to the human workflow: for the tissue the</w:t>
      </w:r>
      <w:r>
        <w:t xml:space="preserve"> </w:t>
      </w:r>
      <w:r>
        <w:t xml:space="preserve">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59"/>
    <w:bookmarkStart w:id="60"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0"/>
    <w:bookmarkStart w:id="61"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w:t>
      </w:r>
      <w:r>
        <w:t xml:space="preserve"> </w:t>
      </w:r>
      <w:r>
        <w:t xml:space="preserve">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1"/>
    <w:bookmarkStart w:id="70"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2">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63">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10.</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takes macro-F1 (0.689) from fifth on</w:t>
      </w:r>
      <w:r>
        <w:t xml:space="preserve"> </w:t>
      </w:r>
      <w:r>
        <w:t xml:space="preserve">accuracy, at the 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4).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5)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65" name="Picture"/>
            <a:graphic>
              <a:graphicData uri="http://schemas.openxmlformats.org/drawingml/2006/picture">
                <pic:pic>
                  <pic:nvPicPr>
                    <pic:cNvPr descr="/Users/iandriver/Downloads/actinn-jax-benchmark/docs/figures/gene_budget_curve.png" id="66" name="Picture"/>
                    <pic:cNvPicPr>
                      <a:picLocks noChangeArrowheads="1" noChangeAspect="1"/>
                    </pic:cNvPicPr>
                  </pic:nvPicPr>
                  <pic:blipFill>
                    <a:blip r:embed="rId64"/>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68" name="Picture"/>
            <a:graphic>
              <a:graphicData uri="http://schemas.openxmlformats.org/drawingml/2006/picture">
                <pic:pic>
                  <pic:nvPicPr>
                    <pic:cNvPr descr="/Users/iandriver/Downloads/actinn-jax-benchmark/docs/figures/gene_budget_signals.png" id="69" name="Picture"/>
                    <pic:cNvPicPr>
                      <a:picLocks noChangeArrowheads="1" noChangeAspect="1"/>
                    </pic:cNvPicPr>
                  </pic:nvPicPr>
                  <pic:blipFill>
                    <a:blip r:embed="rId67"/>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0"/>
    <w:bookmarkEnd w:id="71"/>
    <w:bookmarkStart w:id="73"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are independent support, from a group with</w:t>
      </w:r>
      <w:r>
        <w:t xml:space="preserve"> </w:t>
      </w:r>
      <w:r>
        <w:t xml:space="preserve">no stake in our conclusion, for our two claims: that training-data quality and organization</w:t>
      </w:r>
      <w:r>
        <w:t xml:space="preserve"> </w:t>
      </w:r>
      <w:r>
        <w:t xml:space="preserve">matter as much as model architecture, and that zero-shot foundation-model labels are the</w:t>
      </w:r>
      <w:r>
        <w:t xml:space="preserve"> </w:t>
      </w:r>
      <w:r>
        <w:t xml:space="preserve">weaker option.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72">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73"/>
    <w:bookmarkStart w:id="74"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10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0.905),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74"/>
    <w:bookmarkStart w:id="80"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75">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76">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77">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7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79">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S1–S5 — confusion matrices</w:t>
      </w:r>
      <w:r>
        <w:t xml:space="preserve"> </w:t>
      </w:r>
      <w:r>
        <w:t xml:space="preserve">with ontology-equivalent errors outlined, the abstain trade-off, and per-class recall across</w:t>
      </w:r>
      <w:r>
        <w:t xml:space="preserve"> </w:t>
      </w:r>
      <w:r>
        <w:t xml:space="preserve">eleven methods on three splits — and Tables S1–S3, the method and dataset descriptions and</w:t>
      </w:r>
      <w:r>
        <w:t xml:space="preserve"> </w:t>
      </w:r>
      <w:r>
        <w:t xml:space="preserve">per-dataset accuracy.</w:t>
      </w:r>
    </w:p>
    <w:bookmarkEnd w:id="80"/>
    <w:bookmarkStart w:id="81"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63">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72">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2026-08-09T15:21:22Z</dcterms:created>
  <dcterms:modified xsi:type="dcterms:W3CDTF">2026-08-09T15:21:22Z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 pretrained pan-human annotator (Pan-human Azimuth), and a foundation model (scPRINT) — across six datasets (within-dataset, cross-dataset and cross-study; 8 to 86 cell types) plus a five-point scaling sweep to 49k reference cells, measuring accuracy, macro-F1, ontology-aware concordance, fit and predict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~260× in predict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the leading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behavior from 3k to 49k reference cells. We then use actinn-jax to demonstrate end-to-end workflows that a low, flat cost profile makes practical — on human data, and on mouse via a hierarchy derived from the Cell Ontology that removes the GPU step from building a reference. The workflows are: annotating an unknown human dataset from a shipped census-scale reference (~800 cell types, calibrated abstain) with no training; tissue-aware refinement that halves spurious cross-tissue labels on a liver query; a broad→focused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No part of this workflow is exclusive to actinn-jax: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6–9×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