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fit and predict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~260× in predict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behavior from 3k to 49k reference cells. We then use actinn-jax to demonstrate</w:t>
      </w:r>
      <w:r>
        <w:t xml:space="preserve"> </w:t>
      </w:r>
      <w:r>
        <w:rPr>
          <w:b/>
          <w:bCs/>
        </w:rPr>
        <w:t xml:space="preserve">end-to-end workflows that a low, flat cost profile makes practical</w:t>
      </w:r>
      <w:r>
        <w:t xml:space="preserve"> </w:t>
      </w:r>
      <w:r>
        <w:t xml:space="preserve">— on human data, and on mouse via a hierarchy derived from the Cell Ontology that removes the GPU step from building a reference. The workflows are: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broad→focused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6–9×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 the</w:t>
      </w:r>
      <w:r>
        <w:t xml:space="preserve"> </w:t>
      </w:r>
      <w:r>
        <w:t xml:space="preserve">TensorFlow-1.x original,</w:t>
      </w:r>
      <w:r>
        <w:t xml:space="preserve"> </w:t>
      </w:r>
      <w:r>
        <w:rPr>
          <w:b/>
          <w:bCs/>
        </w:rPr>
        <w:t xml:space="preserve">installs on current Python/ML environments</w:t>
      </w:r>
      <w:r>
        <w:t xml:space="preserve"> </w:t>
      </w:r>
      <w:r>
        <w:t xml:space="preserve">— the original’s</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 a</w:t>
      </w:r>
      <w:r>
        <w:t xml:space="preserve"> </w:t>
      </w:r>
      <w:r>
        <w:t xml:space="preserve">working scientist would accept it.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nothing from scale on lung (0.819 → 0.846) and loses ground on liver</w:t>
      </w:r>
      <w:r>
        <w:t xml:space="preserve"> </w:t>
      </w:r>
      <w:r>
        <w:t xml:space="preserve">(0.657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Fit time is not plotted: the 47k liver point was measured under CPU contention, so a</w:t>
      </w:r>
      <w:r>
        <w:t xml:space="preserve"> </w:t>
      </w:r>
      <w:r>
        <w:t xml:space="preserve">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Centre:</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388824"/>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388824"/>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w:t>
      </w:r>
      <w:r>
        <w:t xml:space="preserve"> </w:t>
      </w:r>
      <w:r>
        <w:t xml:space="preserve">and against a random grouping with the same group sizes, scored by ontology concordance on the</w:t>
      </w:r>
      <w:r>
        <w:t xml:space="preserve"> </w:t>
      </w:r>
      <w:r>
        <w:t xml:space="preserve">held-out human lung atlas.</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a random grouping with the</w:t>
      </w:r>
      <w:r>
        <w:t xml:space="preserve"> </w:t>
      </w:r>
      <w:r>
        <w:t xml:space="preserve">same group sizes scores</w:t>
      </w:r>
      <w:r>
        <w:t xml:space="preserve"> </w:t>
      </w:r>
      <w:r>
        <w:rPr>
          <w:b/>
          <w:bCs/>
        </w:rPr>
        <w:t xml:space="preserve">0.539</w:t>
      </w:r>
      <w:r>
        <w:t xml:space="preserve"> </w:t>
      </w:r>
      <w:r>
        <w:t xml:space="preserve">— no better than the</w:t>
      </w:r>
      <w:r>
        <w:t xml:space="preserve"> </w:t>
      </w:r>
      <w:r>
        <w:rPr>
          <w:b/>
          <w:bCs/>
        </w:rPr>
        <w:t xml:space="preserve">0.547</w:t>
      </w:r>
      <w:r>
        <w:t xml:space="preserve"> </w:t>
      </w:r>
      <w:r>
        <w:t xml:space="preserve">of no hierarchy at all —</w:t>
      </w:r>
      <w:r>
        <w:t xml:space="preserve"> </w:t>
      </w:r>
      <w:r>
        <w:t xml:space="preserve">while the ontology grouping reaches</w:t>
      </w:r>
      <w:r>
        <w:t xml:space="preserve"> </w:t>
      </w:r>
      <w:r>
        <w:rPr>
          <w:b/>
          <w:bCs/>
        </w:rPr>
        <w:t xml:space="preserve">0.616</w:t>
      </w:r>
      <w:r>
        <w:t xml:space="preserve"> </w:t>
      </w:r>
      <w:r>
        <w:t xml:space="preserve">(Figure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8.</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The difference is in the shape rather than in any single row (Figure 6).</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r>
        <w:t xml:space="preserve"> </w:t>
      </w:r>
      <w:r>
        <w:drawing>
          <wp:inline>
            <wp:extent cx="5334000" cy="2130714"/>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130714"/>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w:t>
      </w:r>
      <w:r>
        <w:t xml:space="preserve"> </w:t>
      </w:r>
      <w:r>
        <w:rPr>
          <w:i/>
          <w:iCs/>
        </w:rPr>
        <w:t xml:space="preserve">Left:</w:t>
      </w:r>
      <w:r>
        <w:t xml:space="preserve"> </w:t>
      </w:r>
      <w:r>
        <w:t xml:space="preserve">accuracy on</w:t>
      </w:r>
      <w:r>
        <w:t xml:space="preserve"> </w:t>
      </w:r>
      <w:r>
        <w:t xml:space="preserve">kept cells against the fraction kept.</w:t>
      </w:r>
      <w:r>
        <w:t xml:space="preserve"> </w:t>
      </w:r>
      <w:r>
        <w:rPr>
          <w:i/>
          <w:iCs/>
        </w:rPr>
        <w:t xml:space="preserve">Right:</w:t>
      </w:r>
      <w:r>
        <w:t xml:space="preserve"> </w:t>
      </w:r>
      <w:r>
        <w:t xml:space="preserve">the share of held-out-type cells flagged as the</w:t>
      </w:r>
      <w:r>
        <w:t xml:space="preserve"> </w:t>
      </w:r>
      <w:r>
        <w:t xml:space="preserve">threshold rises. actinn-jax traces a usable curve on both axes; CellTypist’s probabilities are</w:t>
      </w:r>
      <w:r>
        <w:t xml:space="preserve"> </w:t>
      </w:r>
      <w:r>
        <w:t xml:space="preserve">saturated, so thresholds from 0.3 to 0.9 land on one operating point.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w:t>
      </w:r>
      <w:r>
        <w:t xml:space="preserve"> </w:t>
      </w:r>
      <w:r>
        <w:t xml:space="preserve">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takes macro-F1 (0.689) from fifth on</w:t>
      </w:r>
      <w:r>
        <w:t xml:space="preserve"> </w:t>
      </w:r>
      <w:r>
        <w:t xml:space="preserve">accuracy, at the 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are independent support, from a group with</w:t>
      </w:r>
      <w:r>
        <w:t xml:space="preserve"> </w:t>
      </w:r>
      <w:r>
        <w:t xml:space="preserve">no stake in our conclusion, for our two claims: that training-data quality and organization</w:t>
      </w:r>
      <w:r>
        <w:t xml:space="preserve"> </w:t>
      </w:r>
      <w:r>
        <w:t xml:space="preserve">matter as much as model architecture, and that zero-shot foundation-model labels are the</w:t>
      </w:r>
      <w:r>
        <w:t xml:space="preserve"> </w:t>
      </w:r>
      <w:r>
        <w:t xml:space="preserve">weaker option.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89"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84">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5">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6">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7">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8">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89"/>
    <w:bookmarkStart w:id="90"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2026-08-10T02:27:48Z</dcterms:created>
  <dcterms:modified xsi:type="dcterms:W3CDTF">2026-08-10T02:27:48Z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 six datasets (within-dataset, cross-dataset and cross-study; 8 to 86 cell types) plus a five-point scaling sweep to 49k reference cells, measuring accuracy, macro-F1, ontology-aware concordance, fit and predict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~260× in predict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behavior from 3k to 49k reference cells. We then use actinn-jax to demonstrate end-to-end workflows that a low, flat cost profile makes practical — on human data, and on mouse via a hierarchy derived from the Cell Ontology that removes the GPU step from building a reference. The workflows are: annotating an unknown human dataset from a shipped census-scale reference (~800 cell types, calibrated abstain) with no training; tissue-aware refinement that halves spurious cross-tissue labels on a liver query; a broad→focused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6–9×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