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png" ContentType="image/png"/>
  <Override PartName="/word/media/rId52.png" ContentType="image/png"/>
  <Override PartName="/word/media/rId56.png" ContentType="image/png"/>
  <Override PartName="/word/media/rId64.png" ContentType="image/png"/>
  <Override PartName="/word/media/rId6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Annotating single-cell data on a laptop: a 13-method benchmark and practical low-memory workflows, with actinn-jax</w:t>
      </w:r>
    </w:p>
    <w:p>
      <w:pPr>
        <w:pStyle w:val="Author"/>
      </w:pPr>
      <w:r>
        <w:t xml:space="preserve">Ian Driver</w:t>
      </w:r>
    </w:p>
    <w:p>
      <w:pPr>
        <w:pStyle w:val="AbstractTitle"/>
      </w:pPr>
      <w:r>
        <w:t xml:space="preserve">Abstract</w:t>
      </w:r>
    </w:p>
    <w:p>
      <w:pPr>
        <w:pStyle w:val="Abstract"/>
      </w:pPr>
      <w:r>
        <w:t xml:space="preserve">Reference-based cell-type annotation is a routine, high-volume step in single-cell analysis, and most labs run it on a laptop, not a GPU cluster. We present</w:t>
      </w:r>
      <w:r>
        <w:t xml:space="preserve"> </w:t>
      </w:r>
      <w:r>
        <w:rPr>
          <w:b/>
          <w:bCs/>
        </w:rPr>
        <w:t xml:space="preserve">actinn-jax</w:t>
      </w:r>
      <w:r>
        <w:t xml:space="preserve">, a from-scratch JAX reimplementation of ACTINN (a 4-layer MLP classifier) with a sparse-aware pipeline and a train-once/map-many cached reference model, and use it as the occasion for a neutral benchmark of</w:t>
      </w:r>
      <w:r>
        <w:t xml:space="preserve"> </w:t>
      </w:r>
      <w:r>
        <w:rPr>
          <w:b/>
          <w:bCs/>
        </w:rPr>
        <w:t xml:space="preserve">thirteen</w:t>
      </w:r>
      <w:r>
        <w:t xml:space="preserve"> </w:t>
      </w:r>
      <w:r>
        <w:t xml:space="preserve">methods spanning every major class — classical (SVM, kNN), regularized-linear (CellTypist), a carefully-tuned linear pipeline, parameter-free projection (scTOP), marker/correlation (SingleR, scmap), deep probabilistic (scANVI, scArches), an interpretable prototype VAE (ProtoCloud), and a foundation model (scPRINT) — across</w:t>
      </w:r>
      <w:r>
        <w:t xml:space="preserve"> </w:t>
      </w:r>
      <w:r>
        <w:rPr>
          <w:b/>
          <w:bCs/>
        </w:rPr>
        <w:t xml:space="preserve">six</w:t>
      </w:r>
      <w:r>
        <w:t xml:space="preserve"> </w:t>
      </w:r>
      <w:r>
        <w:t xml:space="preserve">datasets (within-dataset, cross-dataset and cross-study; 8 to 86 cell types) plus a five-point</w:t>
      </w:r>
      <w:r>
        <w:t xml:space="preserve"> </w:t>
      </w:r>
      <w:r>
        <w:rPr>
          <w:b/>
          <w:bCs/>
        </w:rPr>
        <w:t xml:space="preserve">scaling sweep to 49k reference cells</w:t>
      </w:r>
      <w:r>
        <w:t xml:space="preserve">, measuring accuracy, macro-F1, ontology-aware concordance, training and inference time, and peak memory on commodity Apple-Silicon hardware.</w:t>
      </w:r>
      <w:r>
        <w:t xml:space="preserve"> </w:t>
      </w:r>
      <w:r>
        <w:rPr>
          <w:b/>
          <w:bCs/>
        </w:rPr>
        <w:t xml:space="preserve">Accuracy differences among the leading methods are small; their cost differences are not.</w:t>
      </w:r>
      <w:r>
        <w:t xml:space="preserve"> </w:t>
      </w:r>
      <w:r>
        <w:t xml:space="preserve">The top of the accuracy table is a four-way cluster spanning 0.008 (0.831–0.839), led by a carefully preprocessed</w:t>
      </w:r>
      <w:r>
        <w:t xml:space="preserve"> </w:t>
      </w:r>
      <w:r>
        <w:rPr>
          <w:b/>
          <w:bCs/>
        </w:rPr>
        <w:t xml:space="preserve">linear pipeline</w:t>
      </w:r>
      <w:r>
        <w:t xml:space="preserve"> </w:t>
      </w:r>
      <w:r>
        <w:t xml:space="preserve">(normalize → ANOVA → PCA → logistic regression, 0.839) rather than by a deep model, with scANVI, scArches and actinn-jax (0.831) alongside it.</w:t>
      </w:r>
      <w:r>
        <w:t xml:space="preserve"> </w:t>
      </w:r>
      <w:r>
        <w:rPr>
          <w:b/>
          <w:bCs/>
        </w:rPr>
        <w:t xml:space="preserve">Those same four methods differ by ~130× in inference time</w:t>
      </w:r>
      <w:r>
        <w:t xml:space="preserve"> </w:t>
      </w:r>
      <w:r>
        <w:t xml:space="preserve">(0.34 s to 89 s)</w:t>
      </w:r>
      <w:r>
        <w:t xml:space="preserve"> </w:t>
      </w:r>
      <w:r>
        <w:rPr>
          <w:b/>
          <w:bCs/>
        </w:rPr>
        <w:t xml:space="preserve">and 2.4× in peak memory</w:t>
      </w:r>
      <w:r>
        <w:t xml:space="preserve"> </w:t>
      </w:r>
      <w:r>
        <w:t xml:space="preserve">(1.8 to 4.3 GB). The linear pipeline is the most accurate-per-second option on laptop-sized data, fitting 7× faster than actinn-jax (3.0 vs. 21.9 s). At atlas scale the ordering changes:</w:t>
      </w:r>
      <w:r>
        <w:t xml:space="preserve"> </w:t>
      </w:r>
      <w:r>
        <w:rPr>
          <w:b/>
          <w:bCs/>
        </w:rPr>
        <w:t xml:space="preserve">ProtoCloud</w:t>
      </w:r>
      <w:r>
        <w:t xml:space="preserve"> </w:t>
      </w:r>
      <w:r>
        <w:t xml:space="preserve">rises from worst at 3k reference cells (0.722) to best at 49k (</w:t>
      </w:r>
      <w:r>
        <w:rPr>
          <w:b/>
          <w:bCs/>
        </w:rPr>
        <w:t xml:space="preserve">0.976</w:t>
      </w:r>
      <w:r>
        <w:t xml:space="preserve">, vs. 0.936 for actinn-jax and 0.939 for the linear pipeline). No method leads everywhere, and methods separated by less than a percentage point of accuracy are separated by two orders of magnitude in cost. Because several methods now annotate quickly, accurately, and with a usable handle on unknown cells, the useful contribution is not another ranking but an account of</w:t>
      </w:r>
      <w:r>
        <w:t xml:space="preserve"> </w:t>
      </w:r>
      <w:r>
        <w:rPr>
          <w:b/>
          <w:bCs/>
        </w:rPr>
        <w:t xml:space="preserve">which tool fits which job, and what the surrounding workflow looks like</w:t>
      </w:r>
      <w:r>
        <w:t xml:space="preserve">. Every method is run on every dataset through one harness on identical splits, the panel deliberately includes the baselines most likely to beat a small MLP, and the external validation is somebody else’s benchmark —</w:t>
      </w:r>
      <w:r>
        <w:t xml:space="preserve"> </w:t>
      </w:r>
      <w:r>
        <w:rPr>
          <w:b/>
          <w:bCs/>
        </w:rPr>
        <w:t xml:space="preserve">Open Problems (OP)</w:t>
      </w:r>
      <w:r>
        <w:t xml:space="preserve"> </w:t>
      </w:r>
      <w:r>
        <w:rPr>
          <w:rStyle w:val="VerbatimChar"/>
        </w:rPr>
        <w:t xml:space="preserve">label_projection</w:t>
      </w:r>
      <w:r>
        <w:t xml:space="preserve">, whose datasets, metrics and ranking we did not choose. We report the results as a decision aid (accuracy-per-second, accuracy-per-byte, and behavior from 3k to 49k reference cells), then use actinn-jax to demonstrate</w:t>
      </w:r>
      <w:r>
        <w:t xml:space="preserve"> </w:t>
      </w:r>
      <w:r>
        <w:rPr>
          <w:b/>
          <w:bCs/>
        </w:rPr>
        <w:t xml:space="preserve">end-to-end workflows that a low, flat cost profile makes practical</w:t>
      </w:r>
      <w:r>
        <w:t xml:space="preserve">, on human data and — via a hierarchy derived from the Cell Ontology, which removes the GPU step from building a reference — on mouse: annotating an unknown human dataset from a</w:t>
      </w:r>
      <w:r>
        <w:t xml:space="preserve"> </w:t>
      </w:r>
      <w:r>
        <w:rPr>
          <w:b/>
          <w:bCs/>
        </w:rPr>
        <w:t xml:space="preserve">shipped census-scale reference</w:t>
      </w:r>
      <w:r>
        <w:t xml:space="preserve"> </w:t>
      </w:r>
      <w:r>
        <w:t xml:space="preserve">(~800 cell types, calibrated abstain) with no training;</w:t>
      </w:r>
      <w:r>
        <w:t xml:space="preserve"> </w:t>
      </w:r>
      <w:r>
        <w:rPr>
          <w:b/>
          <w:bCs/>
        </w:rPr>
        <w:t xml:space="preserve">tissue-aware refinement</w:t>
      </w:r>
      <w:r>
        <w:t xml:space="preserve"> </w:t>
      </w:r>
      <w:r>
        <w:t xml:space="preserve">that halves spurious cross-tissue labels on a liver query; a</w:t>
      </w:r>
      <w:r>
        <w:t xml:space="preserve"> </w:t>
      </w:r>
      <w:r>
        <w:rPr>
          <w:b/>
          <w:bCs/>
        </w:rPr>
        <w:t xml:space="preserve">broad→refined hand-off</w:t>
      </w:r>
      <w:r>
        <w:t xml:space="preserve"> </w:t>
      </w:r>
      <w:r>
        <w:t xml:space="preserve">to a small focused reference (held-out cross-study liver 0.23/0.58 → 0.72/0.86, exact-match / Cell-Ontology-aware); within-cell-type resolution (hepatocyte zonation); and a</w:t>
      </w:r>
      <w:r>
        <w:t xml:space="preserve"> </w:t>
      </w:r>
      <w:r>
        <w:rPr>
          <w:b/>
          <w:bCs/>
        </w:rPr>
        <w:t xml:space="preserve">cluster-level novel-cell-type screen</w:t>
      </w:r>
      <w:r>
        <w:t xml:space="preserve"> </w:t>
      </w:r>
      <w:r>
        <w:t xml:space="preserve">that recovers a withheld pulmonary ionocyte population and its marker ASCL3. What enables this is inference that is</w:t>
      </w:r>
      <w:r>
        <w:t xml:space="preserve"> </w:t>
      </w:r>
      <w:r>
        <w:rPr>
          <w:b/>
          <w:bCs/>
        </w:rPr>
        <w:t xml:space="preserve">sub-second and flat</w:t>
      </w:r>
      <w:r>
        <w:t xml:space="preserve"> </w:t>
      </w:r>
      <w:r>
        <w:t xml:space="preserve">— independent of reference size and cardinality — over a cached reference that is trained once and reused, at the lowest peak memory of the methods we carried to atlas scale (6.1 vs. 13.2 GB for the linear pipeline at 49k cells). The components are not unique: ProtoCloud provides uncertainty, gene attribution and a retraining-based refinement path, and</w:t>
      </w:r>
      <w:r>
        <w:t xml:space="preserve"> </w:t>
      </w:r>
      <w:r>
        <w:rPr>
          <w:b/>
          <w:bCs/>
        </w:rPr>
        <w:t xml:space="preserve">Pan-human Azimuth</w:t>
      </w:r>
      <w:r>
        <w:t xml:space="preserve"> </w:t>
      </w:r>
      <w:r>
        <w:t xml:space="preserve">ships a pretrained, calibrated, hierarchical pan-human annotator that runs on a laptop — a better-resourced broad pass than ours, and one we can</w:t>
      </w:r>
      <w:r>
        <w:t xml:space="preserve"> </w:t>
      </w:r>
      <w:r>
        <w:rPr>
          <w:b/>
          <w:bCs/>
        </w:rPr>
        <w:t xml:space="preserve">distill into a broad-pass model of comparable accuracy at 6–9× its throughput, built with no GPU and no labeled data</w:t>
      </w:r>
      <w:r>
        <w:t xml:space="preserve">. What the workflow adds is the</w:t>
      </w:r>
      <w:r>
        <w:t xml:space="preserve"> </w:t>
      </w:r>
      <w:r>
        <w:rPr>
          <w:b/>
          <w:bCs/>
        </w:rPr>
        <w:t xml:space="preserve">hand-off into a label set the broad model was never trained on</w:t>
      </w:r>
      <w:r>
        <w:t xml:space="preserve">: refinement against a user’s own focused reference, and resolution below any fixed typology’s leaves.</w:t>
      </w:r>
    </w:p>
    <w:p>
      <w:pPr>
        <w:pStyle w:val="FirstParagraph"/>
      </w:pPr>
      <w:r>
        <w:rPr>
          <w:i/>
          <w:iCs/>
        </w:rPr>
        <w:t xml:space="preserve">Independent Researcher, Detroit, MI, USA</w:t>
      </w:r>
      <w:r>
        <w:t xml:space="preserve"> </w:t>
      </w:r>
      <w:r>
        <w:t xml:space="preserve">·</w:t>
      </w:r>
      <w:r>
        <w:t xml:space="preserve"> </w:t>
      </w:r>
      <w:r>
        <w:rPr>
          <w:i/>
          <w:iCs/>
        </w:rPr>
        <w:t xml:space="preserve">Correspondence: driver.ian@gmail.com</w:t>
      </w:r>
    </w:p>
    <w:bookmarkStart w:id="12" w:name="introduction"/>
    <w:p>
      <w:pPr>
        <w:pStyle w:val="Heading1"/>
      </w:pPr>
      <w:r>
        <w:t xml:space="preserve">Introduction</w:t>
      </w:r>
    </w:p>
    <w:p>
      <w:pPr>
        <w:pStyle w:val="FirstParagraph"/>
      </w:pPr>
      <w:r>
        <w:t xml:space="preserve">Annotating cell types by mapping to a labeled reference is one of the most frequently run</w:t>
      </w:r>
      <w:r>
        <w:t xml:space="preserve"> </w:t>
      </w:r>
      <w:r>
        <w:t xml:space="preserve">operations in single-cell RNA-seq. The method landscape is large (S4),</w:t>
      </w:r>
      <w:r>
        <w:t xml:space="preserve"> </w:t>
      </w:r>
      <w:r>
        <w:t xml:space="preserve">but published comparisons (</w:t>
      </w:r>
      <w:hyperlink r:id="rId9">
        <w:r>
          <w:rPr>
            <w:rStyle w:val="Hyperlink"/>
          </w:rPr>
          <w:t xml:space="preserve">[Abdelaal 2019]</w:t>
        </w:r>
      </w:hyperlink>
      <w:r>
        <w:t xml:space="preserve">,</w:t>
      </w:r>
      <w:r>
        <w:t xml:space="preserve"> </w:t>
      </w:r>
      <w:hyperlink r:id="rId10">
        <w:r>
          <w:rPr>
            <w:rStyle w:val="Hyperlink"/>
          </w:rPr>
          <w:t xml:space="preserve">[Fu 2024]</w:t>
        </w:r>
      </w:hyperlink>
      <w:r>
        <w:t xml:space="preserve">) emphasize accuracy and rarely</w:t>
      </w:r>
      <w:r>
        <w:t xml:space="preserve"> </w:t>
      </w:r>
      <w:r>
        <w:t xml:space="preserve">report the axis that decides what a working scientist actually runs on their own machine:</w:t>
      </w:r>
      <w:r>
        <w:t xml:space="preserve"> </w:t>
      </w:r>
      <w:r>
        <w:rPr>
          <w:b/>
          <w:bCs/>
        </w:rPr>
        <w:t xml:space="preserve">wall-clock time and memory on commodity hardware</w:t>
      </w:r>
      <w:r>
        <w:t xml:space="preserve">, without a GPU. Foundation models</w:t>
      </w:r>
      <w:r>
        <w:t xml:space="preserve"> </w:t>
      </w:r>
      <w:r>
        <w:t xml:space="preserve">(scGPT, Geneformer, scPRINT) push accuracy in some settings but need GPUs and minutes-to-</w:t>
      </w:r>
      <w:r>
        <w:t xml:space="preserve"> </w:t>
      </w:r>
      <w:r>
        <w:t xml:space="preserve">hours, and — as we and others find — their</w:t>
      </w:r>
      <w:r>
        <w:t xml:space="preserve"> </w:t>
      </w:r>
      <w:r>
        <w:rPr>
          <w:i/>
          <w:iCs/>
        </w:rPr>
        <w:t xml:space="preserve">zero-shot</w:t>
      </w:r>
      <w:r>
        <w:t xml:space="preserve"> </w:t>
      </w:r>
      <w:r>
        <w:t xml:space="preserve">label predictions underperform a</w:t>
      </w:r>
      <w:r>
        <w:t xml:space="preserve"> </w:t>
      </w:r>
      <w:r>
        <w:t xml:space="preserve">small model trained on curated reference labels.</w:t>
      </w:r>
    </w:p>
    <w:p>
      <w:pPr>
        <w:pStyle w:val="BodyText"/>
      </w:pPr>
      <w:r>
        <w:t xml:space="preserve">We ask a practical question:</w:t>
      </w:r>
      <w:r>
        <w:t xml:space="preserve"> </w:t>
      </w:r>
      <w:r>
        <w:rPr>
          <w:b/>
          <w:bCs/>
        </w:rPr>
        <w:t xml:space="preserve">for a given annotation job on commodity hardware, which</w:t>
      </w:r>
      <w:r>
        <w:rPr>
          <w:b/>
          <w:bCs/>
        </w:rPr>
        <w:t xml:space="preserve"> </w:t>
      </w:r>
      <w:r>
        <w:rPr>
          <w:b/>
          <w:bCs/>
        </w:rPr>
        <w:t xml:space="preserve">method should you actually run, and what does the surrounding workflow look like?</w:t>
      </w:r>
      <w:r>
        <w:t xml:space="preserve"> </w:t>
      </w:r>
      <w:r>
        <w:t xml:space="preserve">Several</w:t>
      </w:r>
      <w:r>
        <w:t xml:space="preserve"> </w:t>
      </w:r>
      <w:r>
        <w:t xml:space="preserve">methods now annotate quickly and accurately and give a usable signal on unknown cells, so</w:t>
      </w:r>
      <w:r>
        <w:t xml:space="preserve"> </w:t>
      </w:r>
      <w:r>
        <w:t xml:space="preserve">the shortage is not another leaderboard but guidance on fit-for-purpose — accuracy per</w:t>
      </w:r>
      <w:r>
        <w:t xml:space="preserve"> </w:t>
      </w:r>
      <w:r>
        <w:t xml:space="preserve">second, accuracy per byte, and how each behaves as the reference grows. We answer with a</w:t>
      </w:r>
      <w:r>
        <w:t xml:space="preserve"> </w:t>
      </w:r>
      <w:r>
        <w:t xml:space="preserve">neutral 13-method benchmark plus a set of demonstrated workflows, held to a single standard:</w:t>
      </w:r>
      <w:r>
        <w:t xml:space="preserve"> </w:t>
      </w:r>
      <w:r>
        <w:t xml:space="preserve">every method runs in its own environment through the same harness, on the same splits, scored</w:t>
      </w:r>
      <w:r>
        <w:t xml:space="preserve"> </w:t>
      </w:r>
      <w:r>
        <w:t xml:space="preserve">by the same metrics, and reported as measured — including where actinn-jax is not the leader.</w:t>
      </w:r>
    </w:p>
    <w:p>
      <w:pPr>
        <w:pStyle w:val="BodyText"/>
      </w:pPr>
      <w:r>
        <w:rPr>
          <w:b/>
          <w:bCs/>
        </w:rPr>
        <w:t xml:space="preserve">How the comparison was constrained.</w:t>
      </w:r>
      <w:r>
        <w:t xml:space="preserve"> </w:t>
      </w:r>
      <w:r>
        <w:t xml:space="preserve">A benchmark written by a method’s own author has a</w:t>
      </w:r>
      <w:r>
        <w:t xml:space="preserve"> </w:t>
      </w:r>
      <w:r>
        <w:t xml:space="preserve">well-known failure mode: the datasets, baselines and metrics that flatter the method are the</w:t>
      </w:r>
      <w:r>
        <w:t xml:space="preserve"> </w:t>
      </w:r>
      <w:r>
        <w:t xml:space="preserve">ones that get reported. We tried to design that freedom out rather than promise restraint.</w:t>
      </w:r>
      <w:r>
        <w:t xml:space="preserve"> </w:t>
      </w:r>
      <w:r>
        <w:t xml:space="preserve">Every method runs on</w:t>
      </w:r>
      <w:r>
        <w:t xml:space="preserve"> </w:t>
      </w:r>
      <w:r>
        <w:rPr>
          <w:b/>
          <w:bCs/>
        </w:rPr>
        <w:t xml:space="preserve">every</w:t>
      </w:r>
      <w:r>
        <w:t xml:space="preserve"> </w:t>
      </w:r>
      <w:r>
        <w:t xml:space="preserve">dataset, so none appears on a favorable subset, and the two</w:t>
      </w:r>
      <w:r>
        <w:t xml:space="preserve"> </w:t>
      </w:r>
      <w:r>
        <w:t xml:space="preserve">methods outside that matrix are named with reasons (§2.2). The panel was chosen to include</w:t>
      </w:r>
      <w:r>
        <w:t xml:space="preserve"> </w:t>
      </w:r>
      <w:r>
        <w:t xml:space="preserve">the baselines most likely to beat a small MLP — a carefully tuned linear pipeline, scTOP,</w:t>
      </w:r>
      <w:r>
        <w:t xml:space="preserve"> </w:t>
      </w:r>
      <w:r>
        <w:t xml:space="preserve">ProtoCloud — and each of them does beat it somewhere; our own classical tier is left untuned</w:t>
      </w:r>
      <w:r>
        <w:t xml:space="preserve"> </w:t>
      </w:r>
      <w:r>
        <w:t xml:space="preserve">while the linear baseline is tuned, which is the unfavorable direction (§5). Metrics are</w:t>
      </w:r>
      <w:r>
        <w:t xml:space="preserve"> </w:t>
      </w:r>
      <w:r>
        <w:t xml:space="preserve">fixed across all methods and reported in full. And the</w:t>
      </w:r>
      <w:r>
        <w:t xml:space="preserve"> </w:t>
      </w:r>
      <w:r>
        <w:rPr>
          <w:b/>
          <w:bCs/>
        </w:rPr>
        <w:t xml:space="preserve">external validation is somebody</w:t>
      </w:r>
      <w:r>
        <w:rPr>
          <w:b/>
          <w:bCs/>
        </w:rPr>
        <w:t xml:space="preserve"> </w:t>
      </w:r>
      <w:r>
        <w:rPr>
          <w:b/>
          <w:bCs/>
        </w:rPr>
        <w:t xml:space="preserve">else’s</w:t>
      </w:r>
      <w:r>
        <w:t xml:space="preserve">: Open Problems</w:t>
      </w:r>
      <w:r>
        <w:t xml:space="preserve"> </w:t>
      </w:r>
      <w:r>
        <w:rPr>
          <w:rStyle w:val="VerbatimChar"/>
        </w:rPr>
        <w:t xml:space="preserve">label_projection</w:t>
      </w:r>
      <w:r>
        <w:t xml:space="preserve"> </w:t>
      </w:r>
      <w:r>
        <w:t xml:space="preserve">(§3.7) sets the datasets, the metrics and</w:t>
      </w:r>
      <w:r>
        <w:t xml:space="preserve"> </w:t>
      </w:r>
      <w:r>
        <w:t xml:space="preserve">the ranking, and we did not choose any of them. Where results contradict our own earlier</w:t>
      </w:r>
      <w:r>
        <w:t xml:space="preserve"> </w:t>
      </w:r>
      <w:r>
        <w:t xml:space="preserve">claims or our method’s interests — ProtoCloud overtaking actinn-jax at atlas scale, a memory</w:t>
      </w:r>
      <w:r>
        <w:t xml:space="preserve"> </w:t>
      </w:r>
      <w:r>
        <w:t xml:space="preserve">advantage that stays a fixed factor instead of growing with the data, a better-resourced broad</w:t>
      </w:r>
      <w:r>
        <w:t xml:space="preserve"> </w:t>
      </w:r>
      <w:r>
        <w:t xml:space="preserve">annotator than our own — they are reported in those terms.</w:t>
      </w:r>
    </w:p>
    <w:p>
      <w:pPr>
        <w:pStyle w:val="BodyText"/>
      </w:pPr>
      <w:r>
        <w:rPr>
          <w:b/>
          <w:bCs/>
        </w:rPr>
        <w:t xml:space="preserve">On adding another method to a crowded field.</w:t>
      </w:r>
      <w:r>
        <w:t xml:space="preserve"> </w:t>
      </w:r>
      <w:r>
        <w:t xml:space="preserve">We are adding one, and we think it earns</w:t>
      </w:r>
      <w:r>
        <w:t xml:space="preserve"> </w:t>
      </w:r>
      <w:r>
        <w:t xml:space="preserve">its place: the original ACTINN no longer installs or runs on current toolchains, and the</w:t>
      </w:r>
      <w:r>
        <w:t xml:space="preserve"> </w:t>
      </w:r>
      <w:r>
        <w:t xml:space="preserve">reimplementation’s flat, sub-second, memory-bounded inference over a cached reference is what</w:t>
      </w:r>
      <w:r>
        <w:t xml:space="preserve"> </w:t>
      </w:r>
      <w:r>
        <w:t xml:space="preserve">makes the multi-stage workflow of §3.4 practical on a laptop. What we are</w:t>
      </w:r>
      <w:r>
        <w:t xml:space="preserve"> </w:t>
      </w:r>
      <w:r>
        <w:rPr>
          <w:i/>
          <w:iCs/>
        </w:rPr>
        <w:t xml:space="preserve">not</w:t>
      </w:r>
      <w:r>
        <w:t xml:space="preserve"> </w:t>
      </w:r>
      <w:r>
        <w:t xml:space="preserve">doing is the</w:t>
      </w:r>
      <w:r>
        <w:t xml:space="preserve"> </w:t>
      </w:r>
      <w:r>
        <w:t xml:space="preserve">move that makes method papers hard to trust — concluding that the new method wins. It does</w:t>
      </w:r>
      <w:r>
        <w:t xml:space="preserve"> </w:t>
      </w:r>
      <w:r>
        <w:t xml:space="preserve">not: on accuracy it sits inside a four-way cluster it does not lead, the panel was assembled</w:t>
      </w:r>
      <w:r>
        <w:t xml:space="preserve"> </w:t>
      </w:r>
      <w:r>
        <w:t xml:space="preserve">to include the baselines most likely to beat it, and they do. A field already full of working</w:t>
      </w:r>
      <w:r>
        <w:t xml:space="preserve"> </w:t>
      </w:r>
      <w:r>
        <w:t xml:space="preserve">methods (</w:t>
      </w:r>
      <w:hyperlink r:id="rId11">
        <w:r>
          <w:rPr>
            <w:rStyle w:val="Hyperlink"/>
          </w:rPr>
          <w:t xml:space="preserve">xkcd 927</w:t>
        </w:r>
      </w:hyperlink>
      <w:r>
        <w:t xml:space="preserve">) is a good reason to be specific about what a new entry is</w:t>
      </w:r>
      <w:r>
        <w:t xml:space="preserve"> </w:t>
      </w:r>
      <w:r>
        <w:rPr>
          <w:i/>
          <w:iCs/>
        </w:rPr>
        <w:t xml:space="preserve">for</w:t>
      </w:r>
      <w:r>
        <w:t xml:space="preserve"> </w:t>
      </w:r>
      <w:r>
        <w:t xml:space="preserve">— here,</w:t>
      </w:r>
      <w:r>
        <w:t xml:space="preserve"> </w:t>
      </w:r>
      <w:r>
        <w:t xml:space="preserve">a cost profile that lets several models be chained — rather than to claim it supersedes what</w:t>
      </w:r>
      <w:r>
        <w:t xml:space="preserve"> </w:t>
      </w:r>
      <w:r>
        <w:t xml:space="preserve">exists. Where a better-resourced model already exists, the productive move is to build on it</w:t>
      </w:r>
      <w:r>
        <w:t xml:space="preserve"> </w:t>
      </w:r>
      <w:r>
        <w:t xml:space="preserve">(§3.4).</w:t>
      </w:r>
    </w:p>
    <w:p>
      <w:pPr>
        <w:pStyle w:val="BodyText"/>
      </w:pPr>
      <w:r>
        <w:rPr>
          <w:b/>
          <w:bCs/>
        </w:rPr>
        <w:t xml:space="preserve">Contributions.</w:t>
      </w:r>
    </w:p>
    <w:p>
      <w:pPr>
        <w:pStyle w:val="Compact"/>
        <w:numPr>
          <w:ilvl w:val="0"/>
          <w:numId w:val="1001"/>
        </w:numPr>
      </w:pPr>
      <w:r>
        <w:t xml:space="preserve">A modern, dependency-light (no TensorFlow) JAX reimplementation of ACTINN with sparse</w:t>
      </w:r>
      <w:r>
        <w:t xml:space="preserve"> </w:t>
      </w:r>
      <w:r>
        <w:t xml:space="preserve">preprocessing, chunked atlas-scale prediction, and a cached reference model.</w:t>
      </w:r>
    </w:p>
    <w:p>
      <w:pPr>
        <w:pStyle w:val="Compact"/>
        <w:numPr>
          <w:ilvl w:val="0"/>
          <w:numId w:val="1001"/>
        </w:numPr>
      </w:pPr>
      <w:r>
        <w:t xml:space="preserve">A neutral</w:t>
      </w:r>
      <w:r>
        <w:t xml:space="preserve"> </w:t>
      </w:r>
      <w:r>
        <w:rPr>
          <w:b/>
          <w:bCs/>
        </w:rPr>
        <w:t xml:space="preserve">13-method × 6-dataset</w:t>
      </w:r>
      <w:r>
        <w:t xml:space="preserve"> </w:t>
      </w:r>
      <w:r>
        <w:t xml:space="preserve">benchmark of accuracy, speed, and memory on Apple</w:t>
      </w:r>
      <w:r>
        <w:t xml:space="preserve"> </w:t>
      </w:r>
      <w:r>
        <w:t xml:space="preserve">Silicon, with a rejection/abstain analysis and a</w:t>
      </w:r>
      <w:r>
        <w:t xml:space="preserve"> </w:t>
      </w:r>
      <w:r>
        <w:rPr>
          <w:b/>
          <w:bCs/>
        </w:rPr>
        <w:t xml:space="preserve">five-point scaling sweep to 49k</w:t>
      </w:r>
      <w:r>
        <w:rPr>
          <w:b/>
          <w:bCs/>
        </w:rPr>
        <w:t xml:space="preserve"> </w:t>
      </w:r>
      <w:r>
        <w:rPr>
          <w:b/>
          <w:bCs/>
        </w:rPr>
        <w:t xml:space="preserve">reference cells</w:t>
      </w:r>
      <w:r>
        <w:t xml:space="preserve">. The panel deliberately includes the baselines most likely to beat a</w:t>
      </w:r>
      <w:r>
        <w:t xml:space="preserve"> </w:t>
      </w:r>
      <w:r>
        <w:t xml:space="preserve">small MLP — a tuned linear pipeline, scTOP, and ProtoCloud — and the results are reported</w:t>
      </w:r>
      <w:r>
        <w:t xml:space="preserve"> </w:t>
      </w:r>
      <w:r>
        <w:t xml:space="preserve">as measured (§3.1, §5). The sweep is also what sets actinn-jax’s minibatch policy: at</w:t>
      </w:r>
      <w:r>
        <w:t xml:space="preserve"> </w:t>
      </w:r>
      <w:r>
        <w:t xml:space="preserve">ACTINN’s fixed batch of 128, a 47k-cell reference costs ~24k tiny update steps, so</w:t>
      </w:r>
      <w:r>
        <w:t xml:space="preserve"> </w:t>
      </w:r>
      <w:r>
        <w:t xml:space="preserve">actinn-jax scales the batch with the reference above ~12.8k cells and keeps 128 below it.</w:t>
      </w:r>
      <w:r>
        <w:t xml:space="preserve"> </w:t>
      </w:r>
      <w:r>
        <w:t xml:space="preserve">Measured fit and predict curves are in §3.3.</w:t>
      </w:r>
    </w:p>
    <w:p>
      <w:pPr>
        <w:pStyle w:val="Compact"/>
        <w:numPr>
          <w:ilvl w:val="0"/>
          <w:numId w:val="1001"/>
        </w:numPr>
      </w:pPr>
      <w:r>
        <w:rPr>
          <w:b/>
          <w:bCs/>
        </w:rPr>
        <w:t xml:space="preserve">Demonstrated end-to-end workflows</w:t>
      </w:r>
      <w:r>
        <w:t xml:space="preserve"> </w:t>
      </w:r>
      <w:r>
        <w:t xml:space="preserve">for jobs where cost is the binding constraint,</w:t>
      </w:r>
      <w:r>
        <w:t xml:space="preserve"> </w:t>
      </w:r>
      <w:r>
        <w:t xml:space="preserve">all CPU: annotate an unknown human dataset from a</w:t>
      </w:r>
      <w:r>
        <w:t xml:space="preserve"> </w:t>
      </w:r>
      <w:r>
        <w:rPr>
          <w:b/>
          <w:bCs/>
        </w:rPr>
        <w:t xml:space="preserve">shipped census-wide ~800-type</w:t>
      </w:r>
      <w:r>
        <w:rPr>
          <w:b/>
          <w:bCs/>
        </w:rPr>
        <w:t xml:space="preserve"> </w:t>
      </w:r>
      <w:r>
        <w:rPr>
          <w:b/>
          <w:bCs/>
        </w:rPr>
        <w:t xml:space="preserve">reference</w:t>
      </w:r>
      <w:r>
        <w:t xml:space="preserve"> </w:t>
      </w:r>
      <w:r>
        <w:t xml:space="preserve">with a calibrated abstain and no training;</w:t>
      </w:r>
      <w:r>
        <w:t xml:space="preserve"> </w:t>
      </w:r>
      <w:r>
        <w:rPr>
          <w:b/>
          <w:bCs/>
        </w:rPr>
        <w:t xml:space="preserve">tissue-aware refinement</w:t>
      </w:r>
      <w:r>
        <w:t xml:space="preserve"> </w:t>
      </w:r>
      <w:r>
        <w:t xml:space="preserve">(halves</w:t>
      </w:r>
      <w:r>
        <w:t xml:space="preserve"> </w:t>
      </w:r>
      <w:r>
        <w:t xml:space="preserve">spurious cross-tissue labels on a liver query); a</w:t>
      </w:r>
      <w:r>
        <w:t xml:space="preserve"> </w:t>
      </w:r>
      <w:r>
        <w:rPr>
          <w:b/>
          <w:bCs/>
        </w:rPr>
        <w:t xml:space="preserve">broad→refined hand-off</w:t>
      </w:r>
      <w:r>
        <w:t xml:space="preserve"> </w:t>
      </w:r>
      <w:r>
        <w:t xml:space="preserve">to a small</w:t>
      </w:r>
      <w:r>
        <w:t xml:space="preserve"> </w:t>
      </w:r>
      <w:r>
        <w:t xml:space="preserve">focused reference (cross-study liver 0.23/0.58 → 0.72/0.86); within-cell-type resolution</w:t>
      </w:r>
      <w:r>
        <w:t xml:space="preserve"> </w:t>
      </w:r>
      <w:r>
        <w:t xml:space="preserve">(hepatocyte zonation); and a</w:t>
      </w:r>
      <w:r>
        <w:t xml:space="preserve"> </w:t>
      </w:r>
      <w:r>
        <w:rPr>
          <w:b/>
          <w:bCs/>
        </w:rPr>
        <w:t xml:space="preserve">one-call novel-cell-type screen</w:t>
      </w:r>
      <w:r>
        <w:t xml:space="preserve"> </w:t>
      </w:r>
      <w:r>
        <w:t xml:space="preserve">(recovers a withheld</w:t>
      </w:r>
      <w:r>
        <w:t xml:space="preserve"> </w:t>
      </w:r>
      <w:r>
        <w:t xml:space="preserve">pulmonary ionocyte population and its marker ASCL3). We are precise about what is not</w:t>
      </w:r>
      <w:r>
        <w:t xml:space="preserve"> </w:t>
      </w:r>
      <w:r>
        <w:t xml:space="preserve">ours: ProtoCloud offers uncertainty, attribution and a retraining-based refine, and</w:t>
      </w:r>
      <w:r>
        <w:t xml:space="preserve"> </w:t>
      </w:r>
      <w:r>
        <w:t xml:space="preserve">Pan-human Azimuth ships a pretrained hierarchical pan-human annotator with trained</w:t>
      </w:r>
      <w:r>
        <w:t xml:space="preserve"> </w:t>
      </w:r>
      <w:r>
        <w:t xml:space="preserve">abstention, so the broad pass itself is not a distinguishing feature — we distill that</w:t>
      </w:r>
      <w:r>
        <w:t xml:space="preserve"> </w:t>
      </w:r>
      <w:r>
        <w:t xml:space="preserve">model into a broad-pass reference rather than compete with it. What is distinct is</w:t>
      </w:r>
      <w:r>
        <w:t xml:space="preserve"> </w:t>
      </w:r>
      <w:r>
        <w:rPr>
          <w:b/>
          <w:bCs/>
        </w:rPr>
        <w:t xml:space="preserve">refinement into a label set no pretrained model carries</w:t>
      </w:r>
      <w:r>
        <w:t xml:space="preserve"> </w:t>
      </w:r>
      <w:r>
        <w:t xml:space="preserve">— the user’s own focused</w:t>
      </w:r>
      <w:r>
        <w:t xml:space="preserve"> </w:t>
      </w:r>
      <w:r>
        <w:t xml:space="preserve">reference, and states below a fixed typology’s leaves. The same route builds a</w:t>
      </w:r>
      <w:r>
        <w:t xml:space="preserve"> </w:t>
      </w:r>
      <w:r>
        <w:rPr>
          <w:b/>
          <w:bCs/>
        </w:rPr>
        <w:t xml:space="preserve">pan-mouse reference</w:t>
      </w:r>
      <w:r>
        <w:t xml:space="preserve"> </w:t>
      </w:r>
      <w:r>
        <w:t xml:space="preserve">(453 types / 85 tissues; 0.638 ontology concordance on two</w:t>
      </w:r>
      <w:r>
        <w:t xml:space="preserve"> </w:t>
      </w:r>
      <w:r>
        <w:t xml:space="preserve">withheld datasets) in 17 s of CPU, using Cell Ontology lineage in place of a</w:t>
      </w:r>
      <w:r>
        <w:t xml:space="preserve"> </w:t>
      </w:r>
      <w:r>
        <w:t xml:space="preserve">foundation-model embedding — which beats the embedding-derived hierarchy on the human</w:t>
      </w:r>
      <w:r>
        <w:t xml:space="preserve"> </w:t>
      </w:r>
      <w:r>
        <w:t xml:space="preserve">corpus it was validated against, and needs no GPU at any stage.</w:t>
      </w:r>
    </w:p>
    <w:p>
      <w:pPr>
        <w:pStyle w:val="Compact"/>
        <w:numPr>
          <w:ilvl w:val="0"/>
          <w:numId w:val="1001"/>
        </w:numPr>
      </w:pPr>
      <w:r>
        <w:t xml:space="preserve">An</w:t>
      </w:r>
      <w:r>
        <w:t xml:space="preserve"> </w:t>
      </w:r>
      <w:r>
        <w:rPr>
          <w:b/>
          <w:bCs/>
        </w:rPr>
        <w:t xml:space="preserve">independent external validation</w:t>
      </w:r>
      <w:r>
        <w:t xml:space="preserve"> </w:t>
      </w:r>
      <w:r>
        <w:t xml:space="preserve">on Open Problems</w:t>
      </w:r>
      <w:r>
        <w:t xml:space="preserve"> </w:t>
      </w:r>
      <w:r>
        <w:rPr>
          <w:rStyle w:val="VerbatimChar"/>
        </w:rPr>
        <w:t xml:space="preserve">label_projection</w:t>
      </w:r>
      <w:r>
        <w:t xml:space="preserve">, with a</w:t>
      </w:r>
      <w:r>
        <w:t xml:space="preserve"> </w:t>
      </w:r>
      <w:r>
        <w:t xml:space="preserve">controlled same-hardware speed/memory comparison, and a set of cheap ablations that</w:t>
      </w:r>
      <w:r>
        <w:t xml:space="preserve"> </w:t>
      </w:r>
      <w:r>
        <w:t xml:space="preserve">characterize</w:t>
      </w:r>
      <w:r>
        <w:t xml:space="preserve"> </w:t>
      </w:r>
      <w:r>
        <w:rPr>
          <w:i/>
          <w:iCs/>
        </w:rPr>
        <w:t xml:space="preserve">when</w:t>
      </w:r>
      <w:r>
        <w:t xml:space="preserve"> </w:t>
      </w:r>
      <w:r>
        <w:t xml:space="preserve">the gene-space model gains or loses to heavier methods (input</w:t>
      </w:r>
      <w:r>
        <w:t xml:space="preserve"> </w:t>
      </w:r>
      <w:r>
        <w:t xml:space="preserve">standardization; a reference-guided gene budget; a foundation-model negative control).</w:t>
      </w:r>
    </w:p>
    <w:bookmarkEnd w:id="12"/>
    <w:bookmarkStart w:id="46" w:name="methods"/>
    <w:p>
      <w:pPr>
        <w:pStyle w:val="Heading1"/>
      </w:pPr>
      <w:r>
        <w:t xml:space="preserve">Methods</w:t>
      </w:r>
    </w:p>
    <w:bookmarkStart w:id="15" w:name="actinn-jax"/>
    <w:p>
      <w:pPr>
        <w:pStyle w:val="Heading2"/>
      </w:pPr>
      <w:r>
        <w:t xml:space="preserve">actinn-jax</w:t>
      </w:r>
    </w:p>
    <w:p>
      <w:pPr>
        <w:pStyle w:val="FirstParagraph"/>
      </w:pPr>
      <w:r>
        <w:t xml:space="preserve">actinn-jax reimplements ACTINN (</w:t>
      </w:r>
      <w:hyperlink r:id="rId13">
        <w:r>
          <w:rPr>
            <w:rStyle w:val="Hyperlink"/>
          </w:rPr>
          <w:t xml:space="preserve">[Ma &amp; Pellegrini 2020]</w:t>
        </w:r>
      </w:hyperlink>
      <w:r>
        <w:t xml:space="preserve">) — a 4-layer fully-connected</w:t>
      </w:r>
      <w:r>
        <w:t xml:space="preserve"> </w:t>
      </w:r>
      <w:r>
        <w:t xml:space="preserve">network (100/50/25 hidden units, ReLU, softmax) trained with Adam — in JAX/optax</w:t>
      </w:r>
      <w:r>
        <w:t xml:space="preserve"> </w:t>
      </w:r>
      <w:r>
        <w:t xml:space="preserve">(</w:t>
      </w:r>
      <w:hyperlink r:id="rId14">
        <w:r>
          <w:rPr>
            <w:rStyle w:val="Hyperlink"/>
          </w:rPr>
          <w:t xml:space="preserve">[Bradbury 2018]</w:t>
        </w:r>
      </w:hyperlink>
      <w:r>
        <w:t xml:space="preserve">), replacing</w:t>
      </w:r>
      <w:r>
        <w:t xml:space="preserve"> </w:t>
      </w:r>
      <w:r>
        <w:t xml:space="preserve">the original’s TensorFlow-1.x graph/session code. Key engineering:</w:t>
      </w:r>
    </w:p>
    <w:p>
      <w:pPr>
        <w:pStyle w:val="Compact"/>
        <w:numPr>
          <w:ilvl w:val="0"/>
          <w:numId w:val="1002"/>
        </w:numPr>
      </w:pPr>
      <w:r>
        <w:rPr>
          <w:b/>
          <w:bCs/>
        </w:rPr>
        <w:t xml:space="preserve">Sparse-aware preprocessing</w:t>
      </w:r>
      <w:r>
        <w:t xml:space="preserve">: the count matrix is never densified in full. CP10k+log2</w:t>
      </w:r>
      <w:r>
        <w:t xml:space="preserve"> </w:t>
      </w:r>
      <w:r>
        <w:t xml:space="preserve">normalization and the expression / coefficient-of-variation gene filter run on the sparse</w:t>
      </w:r>
      <w:r>
        <w:t xml:space="preserve"> </w:t>
      </w:r>
      <w:r>
        <w:t xml:space="preserve">matrix; only the selected-gene columns of each minibatch are made dense.</w:t>
      </w:r>
    </w:p>
    <w:p>
      <w:pPr>
        <w:pStyle w:val="Compact"/>
        <w:numPr>
          <w:ilvl w:val="0"/>
          <w:numId w:val="1002"/>
        </w:numPr>
      </w:pPr>
      <w:r>
        <w:rPr>
          <w:b/>
          <w:bCs/>
        </w:rPr>
        <w:t xml:space="preserve">Cached reference model</w:t>
      </w:r>
      <w:r>
        <w:t xml:space="preserve">: train once, write the fitted model to disk, reload it and map</w:t>
      </w:r>
      <w:r>
        <w:t xml:space="preserve"> </w:t>
      </w:r>
      <w:r>
        <w:t xml:space="preserve">many queries — the amortized cost of repeated annotation against a fixed reference drops</w:t>
      </w:r>
      <w:r>
        <w:t xml:space="preserve"> </w:t>
      </w:r>
      <w:r>
        <w:t xml:space="preserve">to the inference cost alone.</w:t>
      </w:r>
    </w:p>
    <w:p>
      <w:pPr>
        <w:pStyle w:val="Compact"/>
        <w:numPr>
          <w:ilvl w:val="0"/>
          <w:numId w:val="1002"/>
        </w:numPr>
      </w:pPr>
      <w:r>
        <w:rPr>
          <w:b/>
          <w:bCs/>
        </w:rPr>
        <w:t xml:space="preserve">Chunked prediction</w:t>
      </w:r>
      <w:r>
        <w:t xml:space="preserve"> </w:t>
      </w:r>
      <w:r>
        <w:t xml:space="preserve">for atlas-scale queries, and raw counts are picked up automatically</w:t>
      </w:r>
      <w:r>
        <w:t xml:space="preserve"> </w:t>
      </w:r>
      <w:r>
        <w:t xml:space="preserve">from the slot CELLxGENE files conventionally store them in.</w:t>
      </w:r>
    </w:p>
    <w:p>
      <w:pPr>
        <w:pStyle w:val="Compact"/>
        <w:numPr>
          <w:ilvl w:val="0"/>
          <w:numId w:val="1002"/>
        </w:numPr>
      </w:pPr>
      <w:r>
        <w:rPr>
          <w:b/>
          <w:bCs/>
        </w:rPr>
        <w:t xml:space="preserve">Optional reference-fit standardization</w:t>
      </w:r>
      <w:r>
        <w:t xml:space="preserve">: z-score each selected gene by the reference’s</w:t>
      </w:r>
      <w:r>
        <w:t xml:space="preserve"> </w:t>
      </w:r>
      <w:r>
        <w:t xml:space="preserve">frozen mean and standard deviation and apply that to the query — a cheap domain alignment</w:t>
      </w:r>
      <w:r>
        <w:t xml:space="preserve"> </w:t>
      </w:r>
      <w:r>
        <w:t xml:space="preserve">(§3.7). Off by default; when on, the scaler is saved alongside the model and travels with</w:t>
      </w:r>
      <w:r>
        <w:t xml:space="preserve"> </w:t>
      </w:r>
      <w:r>
        <w:t xml:space="preserve">it, and models saved without it still load.</w:t>
      </w:r>
    </w:p>
    <w:p>
      <w:pPr>
        <w:pStyle w:val="FirstParagraph"/>
      </w:pPr>
      <w:r>
        <w:t xml:space="preserve">The reimplementation reproduces the original’s accuracy to within repeat noise while being</w:t>
      </w:r>
      <w:r>
        <w:t xml:space="preserve"> </w:t>
      </w:r>
      <w:r>
        <w:rPr>
          <w:b/>
          <w:bCs/>
        </w:rPr>
        <w:t xml:space="preserve">substantially faster and lighter and, unlike the TensorFlow-1.x original, installable on</w:t>
      </w:r>
      <w:r>
        <w:rPr>
          <w:b/>
          <w:bCs/>
        </w:rPr>
        <w:t xml:space="preserve"> </w:t>
      </w:r>
      <w:r>
        <w:rPr>
          <w:b/>
          <w:bCs/>
        </w:rPr>
        <w:t xml:space="preserve">current Python/ML environments</w:t>
      </w:r>
      <w:r>
        <w:t xml:space="preserve"> </w:t>
      </w:r>
      <w:r>
        <w:t xml:space="preserve">— the original’s graph/session code no longer</w:t>
      </w:r>
      <w:r>
        <w:t xml:space="preserve"> </w:t>
      </w:r>
      <w:r>
        <w:t xml:space="preserve">runs on a modern stack without pinning a years-old TensorFlow. Because the two are the same</w:t>
      </w:r>
      <w:r>
        <w:t xml:space="preserve"> </w:t>
      </w:r>
      <w:r>
        <w:t xml:space="preserve">model at equal accuracy, we do not carry the original as a separate benchmark row; the</w:t>
      </w:r>
      <w:r>
        <w:t xml:space="preserve"> </w:t>
      </w:r>
      <w:r>
        <w:t xml:space="preserve">engineering win is the point, not an accuracy comparison.</w:t>
      </w:r>
    </w:p>
    <w:bookmarkEnd w:id="15"/>
    <w:bookmarkStart w:id="26" w:name="benchmarked-methods"/>
    <w:p>
      <w:pPr>
        <w:pStyle w:val="Heading2"/>
      </w:pPr>
      <w:r>
        <w:t xml:space="preserve">Benchmarked methods</w:t>
      </w:r>
    </w:p>
    <w:tbl>
      <w:tblPr>
        <w:tblStyle w:val="Table"/>
        <w:tblW w:type="pct" w:w="5000"/>
        <w:tblLayout w:type="fixed"/>
        <w:tblLook w:firstRow="1" w:lastRow="0" w:firstColumn="0" w:lastColumn="0" w:noHBand="0" w:noVBand="0" w:val="0020"/>
      </w:tblPr>
      <w:tblGrid>
        <w:gridCol w:w="1146"/>
        <w:gridCol w:w="1250"/>
        <w:gridCol w:w="1146"/>
        <w:gridCol w:w="2084"/>
        <w:gridCol w:w="1042"/>
        <w:gridCol w:w="1250"/>
      </w:tblGrid>
      <w:tr>
        <w:trPr>
          <w:tblHeader w:val="on"/>
        </w:trPr>
        <w:tc>
          <w:tcPr/>
          <w:p>
            <w:pPr>
              <w:pStyle w:val="Compact"/>
            </w:pPr>
            <w:r>
              <w:t xml:space="preserve">method</w:t>
            </w:r>
          </w:p>
        </w:tc>
        <w:tc>
          <w:tcPr/>
          <w:p>
            <w:pPr>
              <w:pStyle w:val="Compact"/>
            </w:pPr>
            <w:r>
              <w:t xml:space="preserve">source</w:t>
            </w:r>
          </w:p>
        </w:tc>
        <w:tc>
          <w:tcPr/>
          <w:p>
            <w:pPr>
              <w:pStyle w:val="Compact"/>
            </w:pPr>
            <w:r>
              <w:t xml:space="preserve">tier</w:t>
            </w:r>
          </w:p>
        </w:tc>
        <w:tc>
          <w:tcPr/>
          <w:p>
            <w:pPr>
              <w:pStyle w:val="Compact"/>
            </w:pPr>
            <w:r>
              <w:t xml:space="preserve">engine</w:t>
            </w:r>
          </w:p>
        </w:tc>
        <w:tc>
          <w:tcPr/>
          <w:p>
            <w:pPr>
              <w:pStyle w:val="Compact"/>
            </w:pPr>
            <w:r>
              <w:t xml:space="preserve">rejection</w:t>
            </w:r>
          </w:p>
        </w:tc>
        <w:tc>
          <w:tcPr/>
          <w:p>
            <w:pPr>
              <w:pStyle w:val="Compact"/>
            </w:pPr>
            <w:r>
              <w:t xml:space="preserve">runtime</w:t>
            </w:r>
          </w:p>
        </w:tc>
      </w:tr>
      <w:tr>
        <w:tc>
          <w:tcPr/>
          <w:p>
            <w:pPr>
              <w:pStyle w:val="Compact"/>
            </w:pPr>
            <w:r>
              <w:rPr>
                <w:b/>
                <w:bCs/>
              </w:rPr>
              <w:t xml:space="preserve">actinn-jax</w:t>
            </w:r>
          </w:p>
        </w:tc>
        <w:tc>
          <w:tcPr/>
          <w:p>
            <w:pPr>
              <w:pStyle w:val="Compact"/>
            </w:pPr>
            <w:hyperlink r:id="rId13">
              <w:r>
                <w:rPr>
                  <w:rStyle w:val="Hyperlink"/>
                </w:rPr>
                <w:t xml:space="preserve">[Ma &amp; Pellegrini 2020]</w:t>
              </w:r>
            </w:hyperlink>
          </w:p>
        </w:tc>
        <w:tc>
          <w:tcPr/>
          <w:p>
            <w:pPr>
              <w:pStyle w:val="Compact"/>
            </w:pPr>
            <w:r>
              <w:t xml:space="preserve">classical</w:t>
            </w:r>
          </w:p>
        </w:tc>
        <w:tc>
          <w:tcPr/>
          <w:p>
            <w:pPr>
              <w:pStyle w:val="Compact"/>
            </w:pPr>
            <w:r>
              <w:t xml:space="preserve">JAX MLP</w:t>
            </w:r>
          </w:p>
        </w:tc>
        <w:tc>
          <w:tcPr/>
          <w:p>
            <w:pPr>
              <w:pStyle w:val="Compact"/>
            </w:pPr>
            <w:r>
              <w:t xml:space="preserve">confidence threshold</w:t>
            </w:r>
          </w:p>
        </w:tc>
        <w:tc>
          <w:tcPr/>
          <w:p>
            <w:pPr>
              <w:pStyle w:val="Compact"/>
            </w:pPr>
            <w:r>
              <w:t xml:space="preserve">JAX</w:t>
            </w:r>
          </w:p>
        </w:tc>
      </w:tr>
      <w:tr>
        <w:tc>
          <w:tcPr/>
          <w:p>
            <w:pPr>
              <w:pStyle w:val="Compact"/>
            </w:pPr>
            <w:r>
              <w:t xml:space="preserve">SVM</w:t>
            </w:r>
          </w:p>
        </w:tc>
        <w:tc>
          <w:tcPr/>
          <w:p>
            <w:pPr>
              <w:pStyle w:val="Compact"/>
            </w:pPr>
            <w:hyperlink r:id="rId16">
              <w:r>
                <w:rPr>
                  <w:rStyle w:val="Hyperlink"/>
                </w:rPr>
                <w:t xml:space="preserve">[Pedregosa 2011]</w:t>
              </w:r>
            </w:hyperlink>
          </w:p>
        </w:tc>
        <w:tc>
          <w:tcPr/>
          <w:p>
            <w:pPr>
              <w:pStyle w:val="Compact"/>
            </w:pPr>
            <w:r>
              <w:t xml:space="preserve">classical</w:t>
            </w:r>
          </w:p>
        </w:tc>
        <w:tc>
          <w:tcPr/>
          <w:p>
            <w:pPr>
              <w:pStyle w:val="Compact"/>
            </w:pPr>
            <w:r>
              <w:t xml:space="preserve">linear SVM (SGD)</w:t>
            </w:r>
          </w:p>
        </w:tc>
        <w:tc>
          <w:tcPr/>
          <w:p>
            <w:pPr>
              <w:pStyle w:val="Compact"/>
            </w:pPr>
            <w:r>
              <w:t xml:space="preserve">—</w:t>
            </w:r>
          </w:p>
        </w:tc>
        <w:tc>
          <w:tcPr/>
          <w:p>
            <w:pPr>
              <w:pStyle w:val="Compact"/>
            </w:pPr>
            <w:r>
              <w:t xml:space="preserve">scikit-learn</w:t>
            </w:r>
          </w:p>
        </w:tc>
      </w:tr>
      <w:tr>
        <w:tc>
          <w:tcPr/>
          <w:p>
            <w:pPr>
              <w:pStyle w:val="Compact"/>
            </w:pPr>
            <w:r>
              <w:t xml:space="preserve">kNN</w:t>
            </w:r>
          </w:p>
        </w:tc>
        <w:tc>
          <w:tcPr/>
          <w:p>
            <w:pPr>
              <w:pStyle w:val="Compact"/>
            </w:pPr>
            <w:hyperlink r:id="rId16">
              <w:r>
                <w:rPr>
                  <w:rStyle w:val="Hyperlink"/>
                </w:rPr>
                <w:t xml:space="preserve">[Pedregosa 2011]</w:t>
              </w:r>
            </w:hyperlink>
          </w:p>
        </w:tc>
        <w:tc>
          <w:tcPr/>
          <w:p>
            <w:pPr>
              <w:pStyle w:val="Compact"/>
            </w:pPr>
            <w:r>
              <w:t xml:space="preserve">classical</w:t>
            </w:r>
          </w:p>
        </w:tc>
        <w:tc>
          <w:tcPr/>
          <w:p>
            <w:pPr>
              <w:pStyle w:val="Compact"/>
            </w:pPr>
            <w:r>
              <w:t xml:space="preserve">k-nearest neighbors</w:t>
            </w:r>
          </w:p>
        </w:tc>
        <w:tc>
          <w:tcPr/>
          <w:p>
            <w:pPr>
              <w:pStyle w:val="Compact"/>
            </w:pPr>
            <w:r>
              <w:t xml:space="preserve">—</w:t>
            </w:r>
          </w:p>
        </w:tc>
        <w:tc>
          <w:tcPr/>
          <w:p>
            <w:pPr>
              <w:pStyle w:val="Compact"/>
            </w:pPr>
            <w:r>
              <w:t xml:space="preserve">scikit-learn</w:t>
            </w:r>
          </w:p>
        </w:tc>
      </w:tr>
      <w:tr>
        <w:tc>
          <w:tcPr/>
          <w:p>
            <w:pPr>
              <w:pStyle w:val="Compact"/>
            </w:pPr>
            <w:r>
              <w:t xml:space="preserve">CellTypist</w:t>
            </w:r>
          </w:p>
        </w:tc>
        <w:tc>
          <w:tcPr/>
          <w:p>
            <w:pPr>
              <w:pStyle w:val="Compact"/>
            </w:pPr>
            <w:hyperlink r:id="rId17">
              <w:r>
                <w:rPr>
                  <w:rStyle w:val="Hyperlink"/>
                </w:rPr>
                <w:t xml:space="preserve">[Domínguez Conde 2022]</w:t>
              </w:r>
            </w:hyperlink>
          </w:p>
        </w:tc>
        <w:tc>
          <w:tcPr/>
          <w:p>
            <w:pPr>
              <w:pStyle w:val="Compact"/>
            </w:pPr>
            <w:r>
              <w:t xml:space="preserve">linear</w:t>
            </w:r>
          </w:p>
        </w:tc>
        <w:tc>
          <w:tcPr/>
          <w:p>
            <w:pPr>
              <w:pStyle w:val="Compact"/>
            </w:pPr>
            <w:r>
              <w:t xml:space="preserve">L2 logistic regression</w:t>
            </w:r>
          </w:p>
        </w:tc>
        <w:tc>
          <w:tcPr/>
          <w:p>
            <w:pPr>
              <w:pStyle w:val="Compact"/>
            </w:pPr>
            <w:r>
              <w:t xml:space="preserve">prob threshold</w:t>
            </w:r>
          </w:p>
        </w:tc>
        <w:tc>
          <w:tcPr/>
          <w:p>
            <w:pPr>
              <w:pStyle w:val="Compact"/>
            </w:pPr>
            <w:r>
              <w:t xml:space="preserve">scikit-learn</w:t>
            </w:r>
          </w:p>
        </w:tc>
      </w:tr>
      <w:tr>
        <w:tc>
          <w:tcPr/>
          <w:p>
            <w:pPr>
              <w:pStyle w:val="Compact"/>
            </w:pPr>
            <w:r>
              <w:rPr>
                <w:b/>
                <w:bCs/>
              </w:rPr>
              <w:t xml:space="preserve">linear-anova-pca</w:t>
            </w:r>
          </w:p>
        </w:tc>
        <w:tc>
          <w:tcPr/>
          <w:p>
            <w:pPr>
              <w:pStyle w:val="Compact"/>
            </w:pPr>
            <w:hyperlink r:id="rId16">
              <w:r>
                <w:rPr>
                  <w:rStyle w:val="Hyperlink"/>
                </w:rPr>
                <w:t xml:space="preserve">[Pedregosa 2011]</w:t>
              </w:r>
            </w:hyperlink>
            <w:r>
              <w:t xml:space="preserve"> </w:t>
            </w:r>
            <w:r>
              <w:t xml:space="preserve">†</w:t>
            </w:r>
          </w:p>
        </w:tc>
        <w:tc>
          <w:tcPr/>
          <w:p>
            <w:pPr>
              <w:pStyle w:val="Compact"/>
            </w:pPr>
            <w:r>
              <w:t xml:space="preserve">linear</w:t>
            </w:r>
          </w:p>
        </w:tc>
        <w:tc>
          <w:tcPr/>
          <w:p>
            <w:pPr>
              <w:pStyle w:val="Compact"/>
            </w:pPr>
            <w:r>
              <w:t xml:space="preserve">normalize → ANOVA → PCA(220) → logreg</w:t>
            </w:r>
          </w:p>
        </w:tc>
        <w:tc>
          <w:tcPr/>
          <w:p>
            <w:pPr>
              <w:pStyle w:val="Compact"/>
            </w:pPr>
            <w:r>
              <w:t xml:space="preserve">prob</w:t>
            </w:r>
          </w:p>
        </w:tc>
        <w:tc>
          <w:tcPr/>
          <w:p>
            <w:pPr>
              <w:pStyle w:val="Compact"/>
            </w:pPr>
            <w:r>
              <w:t xml:space="preserve">scikit-learn</w:t>
            </w:r>
          </w:p>
        </w:tc>
      </w:tr>
      <w:tr>
        <w:tc>
          <w:tcPr/>
          <w:p>
            <w:pPr>
              <w:pStyle w:val="Compact"/>
            </w:pPr>
            <w:r>
              <w:rPr>
                <w:b/>
                <w:bCs/>
              </w:rPr>
              <w:t xml:space="preserve">scTOP</w:t>
            </w:r>
          </w:p>
        </w:tc>
        <w:tc>
          <w:tcPr/>
          <w:p>
            <w:pPr>
              <w:pStyle w:val="Compact"/>
            </w:pPr>
            <w:hyperlink r:id="rId18">
              <w:r>
                <w:rPr>
                  <w:rStyle w:val="Hyperlink"/>
                </w:rPr>
                <w:t xml:space="preserve">[Yampolskaya 2023]</w:t>
              </w:r>
            </w:hyperlink>
          </w:p>
        </w:tc>
        <w:tc>
          <w:tcPr/>
          <w:p>
            <w:pPr>
              <w:pStyle w:val="Compact"/>
            </w:pPr>
            <w:r>
              <w:t xml:space="preserve">parameter-free</w:t>
            </w:r>
          </w:p>
        </w:tc>
        <w:tc>
          <w:tcPr/>
          <w:p>
            <w:pPr>
              <w:pStyle w:val="Compact"/>
            </w:pPr>
            <w:r>
              <w:t xml:space="preserve">rank z-score class-average projection</w:t>
            </w:r>
          </w:p>
        </w:tc>
        <w:tc>
          <w:tcPr/>
          <w:p>
            <w:pPr>
              <w:pStyle w:val="Compact"/>
            </w:pPr>
            <w:r>
              <w:t xml:space="preserve">—</w:t>
            </w:r>
          </w:p>
        </w:tc>
        <w:tc>
          <w:tcPr/>
          <w:p>
            <w:pPr>
              <w:pStyle w:val="Compact"/>
            </w:pPr>
            <w:r>
              <w:t xml:space="preserve">NumPy</w:t>
            </w:r>
          </w:p>
        </w:tc>
      </w:tr>
      <w:tr>
        <w:tc>
          <w:tcPr/>
          <w:p>
            <w:pPr>
              <w:pStyle w:val="Compact"/>
            </w:pPr>
            <w:r>
              <w:t xml:space="preserve">SingleR</w:t>
            </w:r>
          </w:p>
        </w:tc>
        <w:tc>
          <w:tcPr/>
          <w:p>
            <w:pPr>
              <w:pStyle w:val="Compact"/>
            </w:pPr>
            <w:hyperlink r:id="rId19">
              <w:r>
                <w:rPr>
                  <w:rStyle w:val="Hyperlink"/>
                </w:rPr>
                <w:t xml:space="preserve">[Aran 2019]</w:t>
              </w:r>
            </w:hyperlink>
          </w:p>
        </w:tc>
        <w:tc>
          <w:tcPr/>
          <w:p>
            <w:pPr>
              <w:pStyle w:val="Compact"/>
            </w:pPr>
            <w:r>
              <w:t xml:space="preserve">correlation</w:t>
            </w:r>
          </w:p>
        </w:tc>
        <w:tc>
          <w:tcPr/>
          <w:p>
            <w:pPr>
              <w:pStyle w:val="Compact"/>
            </w:pPr>
            <w:r>
              <w:t xml:space="preserve">Spearman + fine-tuning</w:t>
            </w:r>
          </w:p>
        </w:tc>
        <w:tc>
          <w:tcPr/>
          <w:p>
            <w:pPr>
              <w:pStyle w:val="Compact"/>
            </w:pPr>
            <w:r>
              <w:t xml:space="preserve">—</w:t>
            </w:r>
          </w:p>
        </w:tc>
        <w:tc>
          <w:tcPr/>
          <w:p>
            <w:pPr>
              <w:pStyle w:val="Compact"/>
            </w:pPr>
            <w:r>
              <w:t xml:space="preserve">R</w:t>
            </w:r>
          </w:p>
        </w:tc>
      </w:tr>
      <w:tr>
        <w:tc>
          <w:tcPr/>
          <w:p>
            <w:pPr>
              <w:pStyle w:val="Compact"/>
            </w:pPr>
            <w:r>
              <w:t xml:space="preserve">scmap-cluster</w:t>
            </w:r>
          </w:p>
        </w:tc>
        <w:tc>
          <w:tcPr/>
          <w:p>
            <w:pPr>
              <w:pStyle w:val="Compact"/>
            </w:pPr>
            <w:hyperlink r:id="rId20">
              <w:r>
                <w:rPr>
                  <w:rStyle w:val="Hyperlink"/>
                </w:rPr>
                <w:t xml:space="preserve">[Kiselev 2018]</w:t>
              </w:r>
            </w:hyperlink>
          </w:p>
        </w:tc>
        <w:tc>
          <w:tcPr/>
          <w:p>
            <w:pPr>
              <w:pStyle w:val="Compact"/>
            </w:pPr>
            <w:r>
              <w:t xml:space="preserve">correlation</w:t>
            </w:r>
          </w:p>
        </w:tc>
        <w:tc>
          <w:tcPr/>
          <w:p>
            <w:pPr>
              <w:pStyle w:val="Compact"/>
            </w:pPr>
            <w:r>
              <w:t xml:space="preserve">centroid cosine</w:t>
            </w:r>
          </w:p>
        </w:tc>
        <w:tc>
          <w:tcPr/>
          <w:p>
            <w:pPr>
              <w:pStyle w:val="Compact"/>
            </w:pPr>
            <w:r>
              <w:t xml:space="preserve">yes (unassigned)</w:t>
            </w:r>
          </w:p>
        </w:tc>
        <w:tc>
          <w:tcPr/>
          <w:p>
            <w:pPr>
              <w:pStyle w:val="Compact"/>
            </w:pPr>
            <w:r>
              <w:t xml:space="preserve">R</w:t>
            </w:r>
          </w:p>
        </w:tc>
      </w:tr>
      <w:tr>
        <w:tc>
          <w:tcPr/>
          <w:p>
            <w:pPr>
              <w:pStyle w:val="Compact"/>
            </w:pPr>
            <w:r>
              <w:t xml:space="preserve">scANVI</w:t>
            </w:r>
          </w:p>
        </w:tc>
        <w:tc>
          <w:tcPr/>
          <w:p>
            <w:pPr>
              <w:pStyle w:val="Compact"/>
            </w:pPr>
            <w:hyperlink r:id="rId21">
              <w:r>
                <w:rPr>
                  <w:rStyle w:val="Hyperlink"/>
                </w:rPr>
                <w:t xml:space="preserve">[Xu 2021]</w:t>
              </w:r>
            </w:hyperlink>
          </w:p>
        </w:tc>
        <w:tc>
          <w:tcPr/>
          <w:p>
            <w:pPr>
              <w:pStyle w:val="Compact"/>
            </w:pPr>
            <w:r>
              <w:t xml:space="preserve">deep</w:t>
            </w:r>
          </w:p>
        </w:tc>
        <w:tc>
          <w:tcPr/>
          <w:p>
            <w:pPr>
              <w:pStyle w:val="Compact"/>
            </w:pPr>
            <w:r>
              <w:t xml:space="preserve">scVI semi-supervised VAE</w:t>
            </w:r>
          </w:p>
        </w:tc>
        <w:tc>
          <w:tcPr/>
          <w:p>
            <w:pPr>
              <w:pStyle w:val="Compact"/>
            </w:pPr>
            <w:r>
              <w:t xml:space="preserve">prob</w:t>
            </w:r>
          </w:p>
        </w:tc>
        <w:tc>
          <w:tcPr/>
          <w:p>
            <w:pPr>
              <w:pStyle w:val="Compact"/>
            </w:pPr>
            <w:r>
              <w:t xml:space="preserve">scVI</w:t>
            </w:r>
          </w:p>
        </w:tc>
      </w:tr>
      <w:tr>
        <w:tc>
          <w:tcPr/>
          <w:p>
            <w:pPr>
              <w:pStyle w:val="Compact"/>
            </w:pPr>
            <w:r>
              <w:t xml:space="preserve">scArches</w:t>
            </w:r>
          </w:p>
        </w:tc>
        <w:tc>
          <w:tcPr/>
          <w:p>
            <w:pPr>
              <w:pStyle w:val="Compact"/>
            </w:pPr>
            <w:hyperlink r:id="rId22">
              <w:r>
                <w:rPr>
                  <w:rStyle w:val="Hyperlink"/>
                </w:rPr>
                <w:t xml:space="preserve">[Lotfollahi 2022]</w:t>
              </w:r>
            </w:hyperlink>
          </w:p>
        </w:tc>
        <w:tc>
          <w:tcPr/>
          <w:p>
            <w:pPr>
              <w:pStyle w:val="Compact"/>
            </w:pPr>
            <w:r>
              <w:t xml:space="preserve">deep</w:t>
            </w:r>
          </w:p>
        </w:tc>
        <w:tc>
          <w:tcPr/>
          <w:p>
            <w:pPr>
              <w:pStyle w:val="Compact"/>
            </w:pPr>
            <w:r>
              <w:t xml:space="preserve">scANVI reference surgery</w:t>
            </w:r>
          </w:p>
        </w:tc>
        <w:tc>
          <w:tcPr/>
          <w:p>
            <w:pPr>
              <w:pStyle w:val="Compact"/>
            </w:pPr>
            <w:r>
              <w:t xml:space="preserve">prob</w:t>
            </w:r>
          </w:p>
        </w:tc>
        <w:tc>
          <w:tcPr/>
          <w:p>
            <w:pPr>
              <w:pStyle w:val="Compact"/>
            </w:pPr>
            <w:r>
              <w:t xml:space="preserve">scVI</w:t>
            </w:r>
          </w:p>
        </w:tc>
      </w:tr>
      <w:tr>
        <w:tc>
          <w:tcPr/>
          <w:p>
            <w:pPr>
              <w:pStyle w:val="Compact"/>
            </w:pPr>
            <w:r>
              <w:rPr>
                <w:b/>
                <w:bCs/>
              </w:rPr>
              <w:t xml:space="preserve">ProtoCloud</w:t>
            </w:r>
          </w:p>
        </w:tc>
        <w:tc>
          <w:tcPr/>
          <w:p>
            <w:pPr>
              <w:pStyle w:val="Compact"/>
            </w:pPr>
            <w:hyperlink r:id="rId23">
              <w:r>
                <w:rPr>
                  <w:rStyle w:val="Hyperlink"/>
                </w:rPr>
                <w:t xml:space="preserve">[Guo &amp; Ding 2026]</w:t>
              </w:r>
            </w:hyperlink>
          </w:p>
        </w:tc>
        <w:tc>
          <w:tcPr/>
          <w:p>
            <w:pPr>
              <w:pStyle w:val="Compact"/>
            </w:pPr>
            <w:r>
              <w:t xml:space="preserve">deep</w:t>
            </w:r>
          </w:p>
        </w:tc>
        <w:tc>
          <w:tcPr/>
          <w:p>
            <w:pPr>
              <w:pStyle w:val="Compact"/>
            </w:pPr>
            <w:r>
              <w:t xml:space="preserve">prototype VAE + LRP attribution</w:t>
            </w:r>
          </w:p>
        </w:tc>
        <w:tc>
          <w:tcPr/>
          <w:p>
            <w:pPr>
              <w:pStyle w:val="Compact"/>
            </w:pPr>
            <w:r>
              <w:t xml:space="preserve">ambiguity flag</w:t>
            </w:r>
          </w:p>
        </w:tc>
        <w:tc>
          <w:tcPr/>
          <w:p>
            <w:pPr>
              <w:pStyle w:val="Compact"/>
            </w:pPr>
            <w:r>
              <w:t xml:space="preserve">PyTorch</w:t>
            </w:r>
          </w:p>
        </w:tc>
      </w:tr>
      <w:tr>
        <w:tc>
          <w:tcPr/>
          <w:p>
            <w:pPr>
              <w:pStyle w:val="Compact"/>
            </w:pPr>
            <w:r>
              <w:t xml:space="preserve">scPRINT</w:t>
            </w:r>
          </w:p>
        </w:tc>
        <w:tc>
          <w:tcPr/>
          <w:p>
            <w:pPr>
              <w:pStyle w:val="Compact"/>
            </w:pPr>
            <w:hyperlink r:id="rId24">
              <w:r>
                <w:rPr>
                  <w:rStyle w:val="Hyperlink"/>
                </w:rPr>
                <w:t xml:space="preserve">[Kalfon 2025]</w:t>
              </w:r>
            </w:hyperlink>
          </w:p>
        </w:tc>
        <w:tc>
          <w:tcPr/>
          <w:p>
            <w:pPr>
              <w:pStyle w:val="Compact"/>
            </w:pPr>
            <w:r>
              <w:t xml:space="preserve">foundation</w:t>
            </w:r>
          </w:p>
        </w:tc>
        <w:tc>
          <w:tcPr/>
          <w:p>
            <w:pPr>
              <w:pStyle w:val="Compact"/>
            </w:pPr>
            <w:r>
              <w:t xml:space="preserve">pretrained transformer, zero-shot</w:t>
            </w:r>
          </w:p>
        </w:tc>
        <w:tc>
          <w:tcPr/>
          <w:p>
            <w:pPr>
              <w:pStyle w:val="Compact"/>
            </w:pPr>
            <w:r>
              <w:t xml:space="preserve">—</w:t>
            </w:r>
          </w:p>
        </w:tc>
        <w:tc>
          <w:tcPr/>
          <w:p>
            <w:pPr>
              <w:pStyle w:val="Compact"/>
            </w:pPr>
            <w:r>
              <w:t xml:space="preserve">PyTorch</w:t>
            </w:r>
          </w:p>
        </w:tc>
      </w:tr>
      <w:tr>
        <w:tc>
          <w:tcPr/>
          <w:p>
            <w:pPr>
              <w:pStyle w:val="Compact"/>
            </w:pPr>
            <w:r>
              <w:rPr>
                <w:b/>
                <w:bCs/>
              </w:rPr>
              <w:t xml:space="preserve">Pan-human Azimuth</w:t>
            </w:r>
          </w:p>
        </w:tc>
        <w:tc>
          <w:tcPr/>
          <w:p>
            <w:pPr>
              <w:pStyle w:val="Compact"/>
            </w:pPr>
            <w:hyperlink r:id="rId25">
              <w:r>
                <w:rPr>
                  <w:rStyle w:val="Hyperlink"/>
                </w:rPr>
                <w:t xml:space="preserve">[Sarkar et al. 2026]</w:t>
              </w:r>
            </w:hyperlink>
          </w:p>
        </w:tc>
        <w:tc>
          <w:tcPr/>
          <w:p>
            <w:pPr>
              <w:pStyle w:val="Compact"/>
            </w:pPr>
            <w:r>
              <w:t xml:space="preserve">pretrained</w:t>
            </w:r>
          </w:p>
        </w:tc>
        <w:tc>
          <w:tcPr/>
          <w:p>
            <w:pPr>
              <w:pStyle w:val="Compact"/>
            </w:pPr>
            <w:r>
              <w:t xml:space="preserve">8-level hierarchical NN, fixed 382-leaf typology</w:t>
            </w:r>
          </w:p>
        </w:tc>
        <w:tc>
          <w:tcPr/>
          <w:p>
            <w:pPr>
              <w:pStyle w:val="Compact"/>
            </w:pPr>
            <w:r>
              <w:t xml:space="preserve">trained</w:t>
            </w:r>
            <w:r>
              <w:t xml:space="preserve"> </w:t>
            </w:r>
            <w:r>
              <w:rPr>
                <w:rStyle w:val="VerbatimChar"/>
              </w:rPr>
              <w:t xml:space="preserve">Unassigned</w:t>
            </w:r>
          </w:p>
        </w:tc>
        <w:tc>
          <w:tcPr/>
          <w:p>
            <w:pPr>
              <w:pStyle w:val="Compact"/>
            </w:pPr>
            <w:r>
              <w:t xml:space="preserve">TensorFlow</w:t>
            </w:r>
          </w:p>
        </w:tc>
      </w:tr>
    </w:tbl>
    <w:p>
      <w:pPr>
        <w:pStyle w:val="BodyText"/>
      </w:pPr>
      <w:r>
        <w:rPr>
          <w:b/>
          <w:bCs/>
        </w:rPr>
        <w:t xml:space="preserve">Table 1.</w:t>
      </w:r>
      <w:r>
        <w:t xml:space="preserve"> </w:t>
      </w:r>
      <w:r>
        <w:t xml:space="preserve">The benchmarked methods: model family (</w:t>
      </w:r>
      <w:r>
        <w:rPr>
          <w:i/>
          <w:iCs/>
        </w:rPr>
        <w:t xml:space="preserve">tier</w:t>
      </w:r>
      <w:r>
        <w:t xml:space="preserve">), the engine each one actually runs,</w:t>
      </w:r>
      <w:r>
        <w:t xml:space="preserve"> </w:t>
      </w:r>
      <w:r>
        <w:t xml:space="preserve">whether it can decline to call a cell (</w:t>
      </w:r>
      <w:r>
        <w:rPr>
          <w:i/>
          <w:iCs/>
        </w:rPr>
        <w:t xml:space="preserve">rejection</w:t>
      </w:r>
      <w:r>
        <w:t xml:space="preserve">), and the runtime stack it was run on;</w:t>
      </w:r>
      <w:r>
        <w:t xml:space="preserve"> </w:t>
      </w:r>
      <w:r>
        <w:t xml:space="preserve">each has its own pinned environment (§2.5). Bold marks the methods added to this panel here.</w:t>
      </w:r>
    </w:p>
    <w:p>
      <w:pPr>
        <w:pStyle w:val="BodyText"/>
      </w:pPr>
      <w:r>
        <w:t xml:space="preserve">†</w:t>
      </w:r>
      <w:r>
        <w:t xml:space="preserve"> </w:t>
      </w:r>
      <w:r>
        <w:rPr>
          <w:rStyle w:val="VerbatimChar"/>
        </w:rPr>
        <w:t xml:space="preserve">linear-anova-pca</w:t>
      </w:r>
      <w:r>
        <w:t xml:space="preserve"> </w:t>
      </w:r>
      <w:r>
        <w:t xml:space="preserve">has no method paper: it is a baseline assembled here from scikit-learn</w:t>
      </w:r>
      <w:r>
        <w:t xml:space="preserve"> </w:t>
      </w:r>
      <w:r>
        <w:t xml:space="preserve">components, tuned deliberately to be the strongest simple competitor we could build (§1).</w:t>
      </w:r>
    </w:p>
    <w:p>
      <w:pPr>
        <w:pStyle w:val="BodyText"/>
      </w:pPr>
      <w:r>
        <w:rPr>
          <w:b/>
          <w:bCs/>
        </w:rPr>
        <w:t xml:space="preserve">Eleven of the thirteen are trained on each dataset’s own reference</w:t>
      </w:r>
      <w:r>
        <w:t xml:space="preserve"> </w:t>
      </w:r>
      <w:r>
        <w:t xml:space="preserve">and run the full</w:t>
      </w:r>
      <w:r>
        <w:t xml:space="preserve"> </w:t>
      </w:r>
      <w:r>
        <w:t xml:space="preserve">accuracy/cost matrix of §3.1 on all six datasets, so none is compared on a favorable subset.</w:t>
      </w:r>
      <w:r>
        <w:t xml:space="preserve"> </w:t>
      </w:r>
      <w:r>
        <w:t xml:space="preserve">The remaining two are</w:t>
      </w:r>
      <w:r>
        <w:t xml:space="preserve"> </w:t>
      </w:r>
      <w:r>
        <w:rPr>
          <w:b/>
          <w:bCs/>
        </w:rPr>
        <w:t xml:space="preserve">pretrained annotators with fixed label vocabularies</w:t>
      </w:r>
      <w:r>
        <w:t xml:space="preserve">, which changes</w:t>
      </w:r>
      <w:r>
        <w:t xml:space="preserve"> </w:t>
      </w:r>
      <w:r>
        <w:t xml:space="preserve">what can be measured rather than excusing them from measurement:</w:t>
      </w:r>
    </w:p>
    <w:p>
      <w:pPr>
        <w:pStyle w:val="Compact"/>
        <w:numPr>
          <w:ilvl w:val="0"/>
          <w:numId w:val="1003"/>
        </w:numPr>
      </w:pPr>
      <w:r>
        <w:rPr>
          <w:b/>
          <w:bCs/>
        </w:rPr>
        <w:t xml:space="preserve">scPRINT</w:t>
      </w:r>
      <w:r>
        <w:t xml:space="preserve"> </w:t>
      </w:r>
      <w:r>
        <w:t xml:space="preserve">is a zero-shot foundation model over a fixed</w:t>
      </w:r>
      <w:r>
        <w:t xml:space="preserve"> </w:t>
      </w:r>
      <w:r>
        <w:rPr>
          <w:b/>
          <w:bCs/>
        </w:rPr>
        <w:t xml:space="preserve">Cell Ontology (CL)</w:t>
      </w:r>
      <w:r>
        <w:t xml:space="preserve"> </w:t>
      </w:r>
      <w:r>
        <w:t xml:space="preserve">vocabulary —</w:t>
      </w:r>
      <w:r>
        <w:t xml:space="preserve"> </w:t>
      </w:r>
      <w:r>
        <w:t xml:space="preserve">CL being the standard controlled vocabulary of cell types, used throughout as the common</w:t>
      </w:r>
      <w:r>
        <w:t xml:space="preserve"> </w:t>
      </w:r>
      <w:r>
        <w:t xml:space="preserve">ground between datasets that name the same cell differently; it cannot</w:t>
      </w:r>
      <w:r>
        <w:t xml:space="preserve"> </w:t>
      </w:r>
      <w:r>
        <w:t xml:space="preserve">emit labels outside that set and skips symbol-keyed datasets.</w:t>
      </w:r>
    </w:p>
    <w:p>
      <w:pPr>
        <w:pStyle w:val="Compact"/>
        <w:numPr>
          <w:ilvl w:val="0"/>
          <w:numId w:val="1003"/>
        </w:numPr>
      </w:pPr>
      <w:r>
        <w:rPr>
          <w:b/>
          <w:bCs/>
        </w:rPr>
        <w:t xml:space="preserve">Pan-human Azimuth</w:t>
      </w:r>
      <w:r>
        <w:t xml:space="preserve"> </w:t>
      </w:r>
      <w:r>
        <w:t xml:space="preserve">(</w:t>
      </w:r>
      <w:hyperlink r:id="rId25">
        <w:r>
          <w:rPr>
            <w:rStyle w:val="Hyperlink"/>
          </w:rPr>
          <w:t xml:space="preserve">[Sarkar et al. 2026]</w:t>
        </w:r>
      </w:hyperlink>
      <w:r>
        <w:t xml:space="preserve">) is a supervised hierarchical classifier over a</w:t>
      </w:r>
      <w:r>
        <w:t xml:space="preserve"> </w:t>
      </w:r>
      <w:r>
        <w:t xml:space="preserve">single organism-wide typology — 8 levels, 382 leaves, ~7M parameters, a fixed 5,055-gene</w:t>
      </w:r>
      <w:r>
        <w:t xml:space="preserve"> </w:t>
      </w:r>
      <w:r>
        <w:t xml:space="preserve">panel, trained on 9.7M curated cells, with abstention</w:t>
      </w:r>
      <w:r>
        <w:t xml:space="preserve"> </w:t>
      </w:r>
      <w:r>
        <w:rPr>
          <w:i/>
          <w:iCs/>
        </w:rPr>
        <w:t xml:space="preserve">learned rather than thresholded</w:t>
      </w:r>
      <w:r>
        <w:t xml:space="preserve"> </w:t>
      </w:r>
      <w:r>
        <w:t xml:space="preserve">—</w:t>
      </w:r>
      <w:r>
        <w:t xml:space="preserve"> </w:t>
      </w:r>
      <w:r>
        <w:t xml:space="preserve">the model is trained to answer</w:t>
      </w:r>
      <w:r>
        <w:t xml:space="preserve"> </w:t>
      </w:r>
      <w:r>
        <w:rPr>
          <w:rStyle w:val="VerbatimChar"/>
        </w:rPr>
        <w:t xml:space="preserve">Unassigned</w:t>
      </w:r>
      <w:r>
        <w:t xml:space="preserve">, instead of having a probability cutoff applied</w:t>
      </w:r>
      <w:r>
        <w:t xml:space="preserve"> </w:t>
      </w:r>
      <w:r>
        <w:t xml:space="preserve">to its output afterwards. It is the closest published counterpart to this paper’s broad</w:t>
      </w:r>
      <w:r>
        <w:t xml:space="preserve"> </w:t>
      </w:r>
      <w:r>
        <w:t xml:space="preserve">pass, and the teacher we distill in §3.4.</w:t>
      </w:r>
    </w:p>
    <w:p>
      <w:pPr>
        <w:pStyle w:val="FirstParagraph"/>
      </w:pPr>
      <w:r>
        <w:t xml:space="preserve">Neither predicts into the dataset’s label strings, so</w:t>
      </w:r>
      <w:r>
        <w:t xml:space="preserve"> </w:t>
      </w:r>
      <w:r>
        <w:rPr>
          <w:b/>
          <w:bCs/>
        </w:rPr>
        <w:t xml:space="preserve">exact-match accuracy against those</w:t>
      </w:r>
      <w:r>
        <w:rPr>
          <w:b/>
          <w:bCs/>
        </w:rPr>
        <w:t xml:space="preserve"> </w:t>
      </w:r>
      <w:r>
        <w:rPr>
          <w:b/>
          <w:bCs/>
        </w:rPr>
        <w:t xml:space="preserve">strings is a vocabulary artifact, not an accuracy signal</w:t>
      </w:r>
      <w:r>
        <w:t xml:space="preserve"> </w:t>
      </w:r>
      <w:r>
        <w:t xml:space="preserve">—</w:t>
      </w:r>
      <w:r>
        <w:t xml:space="preserve"> </w:t>
      </w:r>
      <w:r>
        <w:rPr>
          <w:rStyle w:val="VerbatimChar"/>
        </w:rPr>
        <w:t xml:space="preserve">regulatory T cell</w:t>
      </w:r>
      <w:r>
        <w:t xml:space="preserve"> </w:t>
      </w:r>
      <w:r>
        <w:t xml:space="preserve">→</w:t>
      </w:r>
      <w:r>
        <w:t xml:space="preserve"> </w:t>
      </w:r>
      <w:r>
        <w:rPr>
          <w:rStyle w:val="VerbatimChar"/>
        </w:rPr>
        <w:t xml:space="preserve">Treg cell</w:t>
      </w:r>
      <w:r>
        <w:t xml:space="preserve"> </w:t>
      </w:r>
      <w:r>
        <w:t xml:space="preserve">and</w:t>
      </w:r>
      <w:r>
        <w:t xml:space="preserve"> </w:t>
      </w:r>
      <w:r>
        <w:rPr>
          <w:rStyle w:val="VerbatimChar"/>
        </w:rPr>
        <w:t xml:space="preserve">non-classical monocyte</w:t>
      </w:r>
      <w:r>
        <w:t xml:space="preserve"> </w:t>
      </w:r>
      <w:r>
        <w:t xml:space="preserve">→</w:t>
      </w:r>
      <w:r>
        <w:t xml:space="preserve"> </w:t>
      </w:r>
      <w:r>
        <w:rPr>
          <w:rStyle w:val="VerbatimChar"/>
        </w:rPr>
        <w:t xml:space="preserve">CD16 monocyte</w:t>
      </w:r>
      <w:r>
        <w:t xml:space="preserve"> </w:t>
      </w:r>
      <w:r>
        <w:t xml:space="preserve">are correct answers that score zero. Both are</w:t>
      </w:r>
      <w:r>
        <w:t xml:space="preserve"> </w:t>
      </w:r>
      <w:r>
        <w:t xml:space="preserve">therefore scored</w:t>
      </w:r>
      <w:r>
        <w:t xml:space="preserve"> </w:t>
      </w:r>
      <w:r>
        <w:rPr>
          <w:b/>
          <w:bCs/>
        </w:rPr>
        <w:t xml:space="preserve">ontology-only</w:t>
      </w:r>
      <w:r>
        <w:t xml:space="preserve"> </w:t>
      </w:r>
      <w:r>
        <w:t xml:space="preserve">(§2.4) and reported in their own block in §3.1, on the</w:t>
      </w:r>
      <w:r>
        <w:t xml:space="preserve"> </w:t>
      </w:r>
      <w:r>
        <w:t xml:space="preserve">three datasets where reference and query both carry Cell Ontology ids. They appear again in</w:t>
      </w:r>
      <w:r>
        <w:t xml:space="preserve"> </w:t>
      </w:r>
      <w:r>
        <w:t xml:space="preserve">§3.6 (foundation-model zero-shot) and §3.4 (Azimuth as broad pass, and as distillation</w:t>
      </w:r>
      <w:r>
        <w:t xml:space="preserve"> </w:t>
      </w:r>
      <w:r>
        <w:t xml:space="preserve">teacher).</w:t>
      </w:r>
    </w:p>
    <w:p>
      <w:pPr>
        <w:pStyle w:val="BodyText"/>
      </w:pPr>
      <w:r>
        <w:rPr>
          <w:b/>
          <w:bCs/>
        </w:rPr>
        <w:t xml:space="preserve">scPred</w:t>
      </w:r>
      <w:r>
        <w:t xml:space="preserve"> </w:t>
      </w:r>
      <w:r>
        <w:t xml:space="preserve">is excluded outright: unmaintained; it requires harmony’s removed</w:t>
      </w:r>
      <w:r>
        <w:t xml:space="preserve"> </w:t>
      </w:r>
      <w:r>
        <w:rPr>
          <w:rStyle w:val="VerbatimChar"/>
        </w:rPr>
        <w:t xml:space="preserve">HarmonyMatrix</w:t>
      </w:r>
      <w:r>
        <w:t xml:space="preserve"> </w:t>
      </w:r>
      <w:r>
        <w:t xml:space="preserve">API and older harmony versions do not compile on the current toolchain.</w:t>
      </w:r>
    </w:p>
    <w:bookmarkEnd w:id="26"/>
    <w:bookmarkStart w:id="32" w:name="datasets"/>
    <w:p>
      <w:pPr>
        <w:pStyle w:val="Heading2"/>
      </w:pPr>
      <w:r>
        <w:t xml:space="preserve">Datasets</w:t>
      </w:r>
    </w:p>
    <w:tbl>
      <w:tblPr>
        <w:tblStyle w:val="Table"/>
        <w:tblW w:type="pct" w:w="5000"/>
        <w:tblLayout w:type="fixed"/>
        <w:tblLook w:firstRow="1" w:lastRow="0" w:firstColumn="0" w:lastColumn="0" w:noHBand="0" w:noVBand="0" w:val="0020"/>
      </w:tblPr>
      <w:tblGrid>
        <w:gridCol w:w="1584"/>
        <w:gridCol w:w="1218"/>
        <w:gridCol w:w="852"/>
        <w:gridCol w:w="1340"/>
        <w:gridCol w:w="731"/>
        <w:gridCol w:w="852"/>
        <w:gridCol w:w="1340"/>
      </w:tblGrid>
      <w:tr>
        <w:trPr>
          <w:tblHeader w:val="on"/>
        </w:trPr>
        <w:tc>
          <w:tcPr/>
          <w:p>
            <w:pPr>
              <w:pStyle w:val="Compact"/>
            </w:pPr>
            <w:r>
              <w:t xml:space="preserve">dataset</w:t>
            </w:r>
          </w:p>
        </w:tc>
        <w:tc>
          <w:tcPr/>
          <w:p>
            <w:pPr>
              <w:pStyle w:val="Compact"/>
            </w:pPr>
            <w:r>
              <w:t xml:space="preserve">source</w:t>
            </w:r>
          </w:p>
        </w:tc>
        <w:tc>
          <w:tcPr/>
          <w:p>
            <w:pPr>
              <w:pStyle w:val="Compact"/>
            </w:pPr>
            <w:r>
              <w:t xml:space="preserve">split</w:t>
            </w:r>
          </w:p>
        </w:tc>
        <w:tc>
          <w:tcPr/>
          <w:p>
            <w:pPr>
              <w:pStyle w:val="Compact"/>
            </w:pPr>
            <w:r>
              <w:t xml:space="preserve">tissue</w:t>
            </w:r>
          </w:p>
        </w:tc>
        <w:tc>
          <w:tcPr/>
          <w:p>
            <w:pPr>
              <w:pStyle w:val="Compact"/>
            </w:pPr>
            <w:r>
              <w:t xml:space="preserve">#types</w:t>
            </w:r>
          </w:p>
        </w:tc>
        <w:tc>
          <w:tcPr/>
          <w:p>
            <w:pPr>
              <w:pStyle w:val="Compact"/>
            </w:pPr>
            <w:r>
              <w:t xml:space="preserve">genes</w:t>
            </w:r>
          </w:p>
        </w:tc>
        <w:tc>
          <w:tcPr/>
          <w:p>
            <w:pPr>
              <w:pStyle w:val="Compact"/>
            </w:pPr>
            <w:r>
              <w:t xml:space="preserve">notes</w:t>
            </w:r>
          </w:p>
        </w:tc>
      </w:tr>
      <w:tr>
        <w:tc>
          <w:tcPr/>
          <w:p>
            <w:pPr>
              <w:pStyle w:val="Compact"/>
            </w:pPr>
            <w:r>
              <w:t xml:space="preserve">lung_intra</w:t>
            </w:r>
          </w:p>
        </w:tc>
        <w:tc>
          <w:tcPr/>
          <w:p>
            <w:pPr>
              <w:pStyle w:val="Compact"/>
            </w:pPr>
            <w:hyperlink r:id="rId27">
              <w:r>
                <w:rPr>
                  <w:rStyle w:val="Hyperlink"/>
                </w:rPr>
                <w:t xml:space="preserve">[Travaglini 2020]</w:t>
              </w:r>
            </w:hyperlink>
          </w:p>
        </w:tc>
        <w:tc>
          <w:tcPr/>
          <w:p>
            <w:pPr>
              <w:pStyle w:val="Compact"/>
            </w:pPr>
            <w:r>
              <w:t xml:space="preserve">within-dataset</w:t>
            </w:r>
          </w:p>
        </w:tc>
        <w:tc>
          <w:tcPr/>
          <w:p>
            <w:pPr>
              <w:pStyle w:val="Compact"/>
            </w:pPr>
            <w:r>
              <w:t xml:space="preserve">lung (Krasnow)</w:t>
            </w:r>
          </w:p>
        </w:tc>
        <w:tc>
          <w:tcPr/>
          <w:p>
            <w:pPr>
              <w:pStyle w:val="Compact"/>
            </w:pPr>
            <w:r>
              <w:t xml:space="preserve">46</w:t>
            </w:r>
          </w:p>
        </w:tc>
        <w:tc>
          <w:tcPr/>
          <w:p>
            <w:pPr>
              <w:pStyle w:val="Compact"/>
            </w:pPr>
            <w:r>
              <w:t xml:space="preserve">Ensembl</w:t>
            </w:r>
          </w:p>
        </w:tc>
        <w:tc>
          <w:tcPr/>
          <w:p>
            <w:pPr>
              <w:pStyle w:val="Compact"/>
            </w:pPr>
            <w:r>
              <w:t xml:space="preserve">300 cells/type ref</w:t>
            </w:r>
          </w:p>
        </w:tc>
      </w:tr>
      <w:tr>
        <w:tc>
          <w:tcPr/>
          <w:p>
            <w:pPr>
              <w:pStyle w:val="Compact"/>
            </w:pPr>
            <w:r>
              <w:t xml:space="preserve">lung_cross</w:t>
            </w:r>
          </w:p>
        </w:tc>
        <w:tc>
          <w:tcPr/>
          <w:p>
            <w:pPr>
              <w:pStyle w:val="Compact"/>
            </w:pPr>
            <w:hyperlink r:id="rId28">
              <w:r>
                <w:rPr>
                  <w:rStyle w:val="Hyperlink"/>
                </w:rPr>
                <w:t xml:space="preserve">[Sikkema 2023]</w:t>
              </w:r>
            </w:hyperlink>
            <w:r>
              <w:t xml:space="preserve"> </w:t>
            </w:r>
            <w:r>
              <w:t xml:space="preserve">→</w:t>
            </w:r>
            <w:r>
              <w:t xml:space="preserve"> </w:t>
            </w:r>
            <w:hyperlink r:id="rId27">
              <w:r>
                <w:rPr>
                  <w:rStyle w:val="Hyperlink"/>
                </w:rPr>
                <w:t xml:space="preserve">[Travaglini 2020]</w:t>
              </w:r>
            </w:hyperlink>
          </w:p>
        </w:tc>
        <w:tc>
          <w:tcPr/>
          <w:p>
            <w:pPr>
              <w:pStyle w:val="Compact"/>
            </w:pPr>
            <w:r>
              <w:t xml:space="preserve">cross-dataset</w:t>
            </w:r>
          </w:p>
        </w:tc>
        <w:tc>
          <w:tcPr/>
          <w:p>
            <w:pPr>
              <w:pStyle w:val="Compact"/>
            </w:pPr>
            <w:r>
              <w:t xml:space="preserve">lung (HLCA → Krasnow)</w:t>
            </w:r>
          </w:p>
        </w:tc>
        <w:tc>
          <w:tcPr/>
          <w:p>
            <w:pPr>
              <w:pStyle w:val="Compact"/>
            </w:pPr>
            <w:r>
              <w:t xml:space="preserve">46</w:t>
            </w:r>
          </w:p>
        </w:tc>
        <w:tc>
          <w:tcPr/>
          <w:p>
            <w:pPr>
              <w:pStyle w:val="Compact"/>
            </w:pPr>
            <w:r>
              <w:t xml:space="preserve">Ensembl</w:t>
            </w:r>
          </w:p>
        </w:tc>
        <w:tc>
          <w:tcPr/>
          <w:p>
            <w:pPr>
              <w:pStyle w:val="Compact"/>
            </w:pPr>
            <w:r>
              <w:t xml:space="preserve">different lab/protocol</w:t>
            </w:r>
          </w:p>
        </w:tc>
      </w:tr>
      <w:tr>
        <w:tc>
          <w:tcPr/>
          <w:p>
            <w:pPr>
              <w:pStyle w:val="Compact"/>
            </w:pPr>
            <w:r>
              <w:t xml:space="preserve">liver_intra</w:t>
            </w:r>
          </w:p>
        </w:tc>
        <w:tc>
          <w:tcPr/>
          <w:p>
            <w:pPr>
              <w:pStyle w:val="Compact"/>
            </w:pPr>
            <w:hyperlink r:id="rId29">
              <w:r>
                <w:rPr>
                  <w:rStyle w:val="Hyperlink"/>
                </w:rPr>
                <w:t xml:space="preserve">[Edgar 2026]</w:t>
              </w:r>
            </w:hyperlink>
          </w:p>
        </w:tc>
        <w:tc>
          <w:tcPr/>
          <w:p>
            <w:pPr>
              <w:pStyle w:val="Compact"/>
            </w:pPr>
            <w:r>
              <w:t xml:space="preserve">within-dataset</w:t>
            </w:r>
          </w:p>
        </w:tc>
        <w:tc>
          <w:tcPr/>
          <w:p>
            <w:pPr>
              <w:pStyle w:val="Compact"/>
            </w:pPr>
            <w:r>
              <w:t xml:space="preserve">liver (HLiCA)</w:t>
            </w:r>
          </w:p>
        </w:tc>
        <w:tc>
          <w:tcPr/>
          <w:p>
            <w:pPr>
              <w:pStyle w:val="Compact"/>
            </w:pPr>
            <w:r>
              <w:t xml:space="preserve">36</w:t>
            </w:r>
          </w:p>
        </w:tc>
        <w:tc>
          <w:tcPr/>
          <w:p>
            <w:pPr>
              <w:pStyle w:val="Compact"/>
            </w:pPr>
            <w:r>
              <w:t xml:space="preserve">Ensembl</w:t>
            </w:r>
          </w:p>
        </w:tc>
        <w:tc>
          <w:tcPr/>
          <w:p>
            <w:pPr>
              <w:pStyle w:val="Compact"/>
            </w:pPr>
            <w:r>
              <w:t xml:space="preserve">150 cells/type</w:t>
            </w:r>
          </w:p>
        </w:tc>
      </w:tr>
      <w:tr>
        <w:tc>
          <w:tcPr/>
          <w:p>
            <w:pPr>
              <w:pStyle w:val="Compact"/>
            </w:pPr>
            <w:r>
              <w:t xml:space="preserve">liver_cross</w:t>
            </w:r>
          </w:p>
        </w:tc>
        <w:tc>
          <w:tcPr/>
          <w:p>
            <w:pPr>
              <w:pStyle w:val="Compact"/>
            </w:pPr>
            <w:hyperlink r:id="rId29">
              <w:r>
                <w:rPr>
                  <w:rStyle w:val="Hyperlink"/>
                </w:rPr>
                <w:t xml:space="preserve">[Edgar 2026]</w:t>
              </w:r>
            </w:hyperlink>
          </w:p>
        </w:tc>
        <w:tc>
          <w:tcPr/>
          <w:p>
            <w:pPr>
              <w:pStyle w:val="Compact"/>
            </w:pPr>
            <w:r>
              <w:t xml:space="preserve">cross-</w:t>
            </w:r>
            <w:r>
              <w:rPr>
                <w:b/>
                <w:bCs/>
              </w:rPr>
              <w:t xml:space="preserve">study</w:t>
            </w:r>
          </w:p>
        </w:tc>
        <w:tc>
          <w:tcPr/>
          <w:p>
            <w:pPr>
              <w:pStyle w:val="Compact"/>
            </w:pPr>
            <w:r>
              <w:t xml:space="preserve">liver (HLiCA)</w:t>
            </w:r>
          </w:p>
        </w:tc>
        <w:tc>
          <w:tcPr/>
          <w:p>
            <w:pPr>
              <w:pStyle w:val="Compact"/>
            </w:pPr>
            <w:r>
              <w:t xml:space="preserve">34</w:t>
            </w:r>
          </w:p>
        </w:tc>
        <w:tc>
          <w:tcPr/>
          <w:p>
            <w:pPr>
              <w:pStyle w:val="Compact"/>
            </w:pPr>
            <w:r>
              <w:t xml:space="preserve">Ensembl</w:t>
            </w:r>
          </w:p>
        </w:tc>
        <w:tc>
          <w:tcPr/>
          <w:p>
            <w:pPr>
              <w:pStyle w:val="Compact"/>
            </w:pPr>
            <w:r>
              <w:t xml:space="preserve">train 6 studies → test withheld study</w:t>
            </w:r>
          </w:p>
        </w:tc>
      </w:tr>
      <w:tr>
        <w:tc>
          <w:tcPr/>
          <w:p>
            <w:pPr>
              <w:pStyle w:val="Compact"/>
            </w:pPr>
            <w:r>
              <w:t xml:space="preserve">blood_gut_intra</w:t>
            </w:r>
          </w:p>
        </w:tc>
        <w:tc>
          <w:tcPr/>
          <w:p>
            <w:pPr>
              <w:pStyle w:val="Compact"/>
            </w:pPr>
            <w:hyperlink r:id="rId30">
              <w:r>
                <w:rPr>
                  <w:rStyle w:val="Hyperlink"/>
                </w:rPr>
                <w:t xml:space="preserve">[Alegbe 2026]</w:t>
              </w:r>
            </w:hyperlink>
          </w:p>
        </w:tc>
        <w:tc>
          <w:tcPr/>
          <w:p>
            <w:pPr>
              <w:pStyle w:val="Compact"/>
            </w:pPr>
            <w:r>
              <w:t xml:space="preserve">within-dataset</w:t>
            </w:r>
          </w:p>
        </w:tc>
        <w:tc>
          <w:tcPr/>
          <w:p>
            <w:pPr>
              <w:pStyle w:val="Compact"/>
            </w:pPr>
            <w:r>
              <w:t xml:space="preserve">blood + gut (IBDverse)</w:t>
            </w:r>
          </w:p>
        </w:tc>
        <w:tc>
          <w:tcPr/>
          <w:p>
            <w:pPr>
              <w:pStyle w:val="Compact"/>
            </w:pPr>
            <w:r>
              <w:t xml:space="preserve">86</w:t>
            </w:r>
          </w:p>
        </w:tc>
        <w:tc>
          <w:tcPr/>
          <w:p>
            <w:pPr>
              <w:pStyle w:val="Compact"/>
            </w:pPr>
            <w:r>
              <w:t xml:space="preserve">Ensembl</w:t>
            </w:r>
          </w:p>
        </w:tc>
        <w:tc>
          <w:tcPr/>
          <w:p>
            <w:pPr>
              <w:pStyle w:val="Compact"/>
            </w:pPr>
            <w:r>
              <w:t xml:space="preserve">high cardinality; no CL ids</w:t>
            </w:r>
          </w:p>
        </w:tc>
      </w:tr>
      <w:tr>
        <w:tc>
          <w:tcPr/>
          <w:p>
            <w:pPr>
              <w:pStyle w:val="Compact"/>
            </w:pPr>
            <w:r>
              <w:t xml:space="preserve">pbmc</w:t>
            </w:r>
          </w:p>
        </w:tc>
        <w:tc>
          <w:tcPr/>
          <w:p>
            <w:pPr>
              <w:pStyle w:val="Compact"/>
            </w:pPr>
            <w:hyperlink r:id="rId31">
              <w:r>
                <w:rPr>
                  <w:rStyle w:val="Hyperlink"/>
                </w:rPr>
                <w:t xml:space="preserve">[10x Genomics 2016]</w:t>
              </w:r>
            </w:hyperlink>
          </w:p>
        </w:tc>
        <w:tc>
          <w:tcPr/>
          <w:p>
            <w:pPr>
              <w:pStyle w:val="Compact"/>
            </w:pPr>
            <w:r>
              <w:t xml:space="preserve">within-dataset</w:t>
            </w:r>
          </w:p>
        </w:tc>
        <w:tc>
          <w:tcPr/>
          <w:p>
            <w:pPr>
              <w:pStyle w:val="Compact"/>
            </w:pPr>
            <w:r>
              <w:t xml:space="preserve">PBMC (pbmc3k)</w:t>
            </w:r>
          </w:p>
        </w:tc>
        <w:tc>
          <w:tcPr/>
          <w:p>
            <w:pPr>
              <w:pStyle w:val="Compact"/>
            </w:pPr>
            <w:r>
              <w:t xml:space="preserve">8</w:t>
            </w:r>
          </w:p>
        </w:tc>
        <w:tc>
          <w:tcPr/>
          <w:p>
            <w:pPr>
              <w:pStyle w:val="Compact"/>
            </w:pPr>
            <w:r>
              <w:t xml:space="preserve">symbols</w:t>
            </w:r>
          </w:p>
        </w:tc>
        <w:tc>
          <w:tcPr/>
          <w:p>
            <w:pPr>
              <w:pStyle w:val="Compact"/>
            </w:pPr>
            <w:r>
              <w:t xml:space="preserve">small-n; scPRINT skips (symbols)</w:t>
            </w:r>
          </w:p>
        </w:tc>
      </w:tr>
    </w:tbl>
    <w:p>
      <w:pPr>
        <w:pStyle w:val="BodyText"/>
      </w:pPr>
      <w:r>
        <w:rPr>
          <w:b/>
          <w:bCs/>
        </w:rPr>
        <w:t xml:space="preserve">Table 2.</w:t>
      </w:r>
      <w:r>
        <w:t xml:space="preserve"> </w:t>
      </w:r>
      <w:r>
        <w:t xml:space="preserve">The six benchmark datasets.</w:t>
      </w:r>
      <w:r>
        <w:t xml:space="preserve"> </w:t>
      </w:r>
      <w:r>
        <w:rPr>
          <w:i/>
          <w:iCs/>
        </w:rPr>
        <w:t xml:space="preserve">split</w:t>
      </w:r>
      <w:r>
        <w:t xml:space="preserve"> </w:t>
      </w:r>
      <w:r>
        <w:t xml:space="preserve">separates within-dataset holdouts from</w:t>
      </w:r>
      <w:r>
        <w:t xml:space="preserve"> </w:t>
      </w:r>
      <w:r>
        <w:t xml:space="preserve">cross-dataset and cross-study transfer;</w:t>
      </w:r>
      <w:r>
        <w:t xml:space="preserve"> </w:t>
      </w:r>
      <w:r>
        <w:rPr>
          <w:i/>
          <w:iCs/>
        </w:rPr>
        <w:t xml:space="preserve">genes</w:t>
      </w:r>
      <w:r>
        <w:t xml:space="preserve"> </w:t>
      </w:r>
      <w:r>
        <w:t xml:space="preserve">records whether the matrix is keyed by Ensembl</w:t>
      </w:r>
      <w:r>
        <w:t xml:space="preserve"> </w:t>
      </w:r>
      <w:r>
        <w:t xml:space="preserve">ids or by gene symbols, which decides who can read it.</w:t>
      </w:r>
    </w:p>
    <w:p>
      <w:pPr>
        <w:pStyle w:val="BodyText"/>
      </w:pPr>
      <w:r>
        <w:t xml:space="preserve">The blood+gut set is a subsample of</w:t>
      </w:r>
      <w:r>
        <w:t xml:space="preserve"> </w:t>
      </w:r>
      <w:r>
        <w:rPr>
          <w:b/>
          <w:bCs/>
        </w:rPr>
        <w:t xml:space="preserve">IBDverse</w:t>
      </w:r>
      <w:r>
        <w:t xml:space="preserve"> </w:t>
      </w:r>
      <w:r>
        <w:t xml:space="preserve">(Wellcome Sanger Institute; blood, terminal</w:t>
      </w:r>
      <w:r>
        <w:t xml:space="preserve"> </w:t>
      </w:r>
      <w:r>
        <w:t xml:space="preserve">ileum and rectum from 421 individuals), included here because 86 fine-grained labels make it</w:t>
      </w:r>
      <w:r>
        <w:t xml:space="preserve"> </w:t>
      </w:r>
      <w:r>
        <w:t xml:space="preserve">the high-cardinality stress case for the panel. It carries no Cell Ontology ids, so it</w:t>
      </w:r>
      <w:r>
        <w:t xml:space="preserve"> </w:t>
      </w:r>
      <w:r>
        <w:t xml:space="preserve">contributes to accuracy and macro-F1 but to no ontology-scored result.</w:t>
      </w:r>
    </w:p>
    <w:p>
      <w:pPr>
        <w:pStyle w:val="BodyText"/>
      </w:pPr>
      <w:r>
        <w:t xml:space="preserve">The set spans the three generalization regimes (within-dataset, across datasets, across</w:t>
      </w:r>
      <w:r>
        <w:t xml:space="preserve"> </w:t>
      </w:r>
      <w:r>
        <w:t xml:space="preserve">studies), an order of magnitude in cell-type count (8→86), and both gene-ID conventions.</w:t>
      </w:r>
    </w:p>
    <w:bookmarkEnd w:id="32"/>
    <w:bookmarkStart w:id="34" w:name="metrics"/>
    <w:p>
      <w:pPr>
        <w:pStyle w:val="Heading2"/>
      </w:pPr>
      <w:r>
        <w:t xml:space="preserve">Metrics</w:t>
      </w:r>
    </w:p>
    <w:p>
      <w:pPr>
        <w:pStyle w:val="FirstParagraph"/>
      </w:pPr>
      <w:r>
        <w:t xml:space="preserve">Per (dataset, method, repeat):</w:t>
      </w:r>
      <w:r>
        <w:t xml:space="preserve"> </w:t>
      </w:r>
      <w:r>
        <w:rPr>
          <w:b/>
          <w:bCs/>
        </w:rPr>
        <w:t xml:space="preserve">accuracy</w:t>
      </w:r>
      <w:r>
        <w:t xml:space="preserve">;</w:t>
      </w:r>
      <w:r>
        <w:t xml:space="preserve"> </w:t>
      </w:r>
      <w:r>
        <w:rPr>
          <w:b/>
          <w:bCs/>
        </w:rPr>
        <w:t xml:space="preserve">macro-F1</w:t>
      </w:r>
      <w:r>
        <w:t xml:space="preserve">, unweighted over classes so rare</w:t>
      </w:r>
      <w:r>
        <w:t xml:space="preserve"> </w:t>
      </w:r>
      <w:r>
        <w:t xml:space="preserve">types count as much as common ones;</w:t>
      </w:r>
      <w:r>
        <w:t xml:space="preserve"> </w:t>
      </w:r>
      <w:r>
        <w:rPr>
          <w:b/>
          <w:bCs/>
        </w:rPr>
        <w:t xml:space="preserve">ontology-aware concordance</w:t>
      </w:r>
      <w:r>
        <w:t xml:space="preserve">;</w:t>
      </w:r>
      <w:r>
        <w:t xml:space="preserve"> </w:t>
      </w:r>
      <w:r>
        <w:rPr>
          <w:b/>
          <w:bCs/>
        </w:rPr>
        <w:t xml:space="preserve">fit time</w:t>
      </w:r>
      <w:r>
        <w:t xml:space="preserve">,</w:t>
      </w:r>
      <w:r>
        <w:t xml:space="preserve"> </w:t>
      </w:r>
      <w:r>
        <w:rPr>
          <w:b/>
          <w:bCs/>
        </w:rPr>
        <w:t xml:space="preserve">predict</w:t>
      </w:r>
      <w:r>
        <w:rPr>
          <w:b/>
          <w:bCs/>
        </w:rPr>
        <w:t xml:space="preserve"> </w:t>
      </w:r>
      <w:r>
        <w:rPr>
          <w:b/>
          <w:bCs/>
        </w:rPr>
        <w:t xml:space="preserve">time</w:t>
      </w:r>
      <w:r>
        <w:t xml:space="preserve">, and</w:t>
      </w:r>
      <w:r>
        <w:t xml:space="preserve"> </w:t>
      </w:r>
      <w:r>
        <w:rPr>
          <w:b/>
          <w:bCs/>
        </w:rPr>
        <w:t xml:space="preserve">peak RSS</w:t>
      </w:r>
      <w:r>
        <w:t xml:space="preserve"> </w:t>
      </w:r>
      <w:r>
        <w:t xml:space="preserve">(resident set size — the maximum physical memory the process held).</w:t>
      </w:r>
    </w:p>
    <w:p>
      <w:pPr>
        <w:pStyle w:val="BodyText"/>
      </w:pPr>
      <w:r>
        <w:rPr>
          <w:b/>
          <w:bCs/>
        </w:rPr>
        <w:t xml:space="preserve">Ontology-aware concordance</w:t>
      </w:r>
      <w:r>
        <w:t xml:space="preserve"> </w:t>
      </w:r>
      <w:r>
        <w:t xml:space="preserve">credits a call that is the same node, an ancestor, or a</w:t>
      </w:r>
      <w:r>
        <w:t xml:space="preserve"> </w:t>
      </w:r>
      <w:r>
        <w:t xml:space="preserve">descendant of the truth in the Cell Ontology. It exists because cell-type vocabularies</w:t>
      </w:r>
      <w:r>
        <w:t xml:space="preserve"> </w:t>
      </w:r>
      <w:r>
        <w:t xml:space="preserve">disagree about granularity more than about biology:</w:t>
      </w:r>
      <w:r>
        <w:t xml:space="preserve"> </w:t>
      </w:r>
      <w:r>
        <w:rPr>
          <w:rStyle w:val="VerbatimChar"/>
        </w:rPr>
        <w:t xml:space="preserve">periportal region hepatocyte</w:t>
      </w:r>
      <w:r>
        <w:t xml:space="preserve"> </w:t>
      </w:r>
      <w:r>
        <w:t xml:space="preserve">against</w:t>
      </w:r>
      <w:r>
        <w:t xml:space="preserve"> </w:t>
      </w:r>
      <w:r>
        <w:rPr>
          <w:rStyle w:val="VerbatimChar"/>
        </w:rPr>
        <w:t xml:space="preserve">Hepatocyte</w:t>
      </w:r>
      <w:r>
        <w:t xml:space="preserve"> </w:t>
      </w:r>
      <w:r>
        <w:t xml:space="preserve">is a right-lineage-wrong-depth call, which exact match scores as a total failure</w:t>
      </w:r>
      <w:r>
        <w:t xml:space="preserve"> </w:t>
      </w:r>
      <w:r>
        <w:t xml:space="preserve">and a working scientist would accept. It is the</w:t>
      </w:r>
      <w:r>
        <w:t xml:space="preserve"> </w:t>
      </w:r>
      <w:r>
        <w:rPr>
          <w:b/>
          <w:bCs/>
        </w:rPr>
        <w:t xml:space="preserve">only</w:t>
      </w:r>
      <w:r>
        <w:t xml:space="preserve"> </w:t>
      </w:r>
      <w:r>
        <w:t xml:space="preserve">metric that compares methods with</w:t>
      </w:r>
      <w:r>
        <w:t xml:space="preserve"> </w:t>
      </w:r>
      <w:r>
        <w:t xml:space="preserve">different label vocabularies (§2.2), and it is reported only where both reference and query</w:t>
      </w:r>
      <w:r>
        <w:t xml:space="preserve"> </w:t>
      </w:r>
      <w:r>
        <w:t xml:space="preserve">carry CL ids — so not on</w:t>
      </w:r>
      <w:r>
        <w:t xml:space="preserve"> </w:t>
      </w:r>
      <w:r>
        <w:rPr>
          <w:rStyle w:val="VerbatimChar"/>
        </w:rPr>
        <w:t xml:space="preserve">blood_gut_intra</w:t>
      </w:r>
      <w:r>
        <w:t xml:space="preserve">, and not on the symbol-keyed</w:t>
      </w:r>
      <w:r>
        <w:t xml:space="preserve"> </w:t>
      </w:r>
      <w:r>
        <w:rPr>
          <w:rStyle w:val="VerbatimChar"/>
        </w:rPr>
        <w:t xml:space="preserve">pbmc</w:t>
      </w:r>
      <w:r>
        <w:t xml:space="preserve">.</w:t>
      </w:r>
    </w:p>
    <w:p>
      <w:pPr>
        <w:pStyle w:val="BodyText"/>
      </w:pPr>
      <w:r>
        <w:t xml:space="preserve">Concordance depends on the ontology release, since ancestor sets change between them. All</w:t>
      </w:r>
      <w:r>
        <w:t xml:space="preserve"> </w:t>
      </w:r>
      <w:r>
        <w:t xml:space="preserve">numbers here use the</w:t>
      </w:r>
      <w:r>
        <w:t xml:space="preserve"> </w:t>
      </w:r>
      <w:r>
        <w:rPr>
          <w:b/>
          <w:bCs/>
        </w:rPr>
        <w:t xml:space="preserve">Cell Ontology basic release of 2026-06-08</w:t>
      </w:r>
      <w:r>
        <w:t xml:space="preserve"> </w:t>
      </w:r>
      <w:r>
        <w:t xml:space="preserve">(sha256 73996c63…),</w:t>
      </w:r>
      <w:r>
        <w:t xml:space="preserve"> </w:t>
      </w:r>
      <w:r>
        <w:t xml:space="preserve">resolved once and reused by every scoring pass. This is not a hypothetical concern:</w:t>
      </w:r>
      <w:r>
        <w:t xml:space="preserve"> </w:t>
      </w:r>
      <w:r>
        <w:t xml:space="preserve">re-running lung_cross against a later-fetched release reproduced the splits exactly (14,390</w:t>
      </w:r>
      <w:r>
        <w:t xml:space="preserve"> </w:t>
      </w:r>
      <w:r>
        <w:t xml:space="preserve">reference / 13,550 query cells) and still moved concordance by 0.003, with no model changing.</w:t>
      </w:r>
      <w:r>
        <w:t xml:space="preserve"> </w:t>
      </w:r>
      <w:r>
        <w:t xml:space="preserve">That release, its checksum, and pinned versions for all six benchmark environments are</w:t>
      </w:r>
      <w:r>
        <w:t xml:space="preserve"> </w:t>
      </w:r>
      <w:r>
        <w:t xml:space="preserve">recorded as lockfiles in the</w:t>
      </w:r>
      <w:r>
        <w:t xml:space="preserve"> </w:t>
      </w:r>
      <w:hyperlink r:id="rId33">
        <w:r>
          <w:rPr>
            <w:rStyle w:val="Hyperlink"/>
          </w:rPr>
          <w:t xml:space="preserve">benchmark repository</w:t>
        </w:r>
      </w:hyperlink>
      <w:r>
        <w:t xml:space="preserve">, which also carries a command that</w:t>
      </w:r>
      <w:r>
        <w:t xml:space="preserve"> </w:t>
      </w:r>
      <w:r>
        <w:t xml:space="preserve">reports any drift from them.</w:t>
      </w:r>
    </w:p>
    <w:p>
      <w:pPr>
        <w:pStyle w:val="BodyText"/>
      </w:pPr>
      <w:r>
        <w:t xml:space="preserve">Exact-match accuracy is reported for the ten reference-trained methods and, on</w:t>
      </w:r>
      <w:r>
        <w:t xml:space="preserve"> </w:t>
      </w:r>
      <w:r>
        <w:rPr>
          <w:rStyle w:val="VerbatimChar"/>
        </w:rPr>
        <w:t xml:space="preserve">lung_cross</w:t>
      </w:r>
      <w:r>
        <w:t xml:space="preserve">,</w:t>
      </w:r>
      <w:r>
        <w:t xml:space="preserve"> </w:t>
      </w:r>
      <w:r>
        <w:t xml:space="preserve">flagged: reference and query use different label vocabularies there, so its exact accuracy is</w:t>
      </w:r>
      <w:r>
        <w:t xml:space="preserve"> </w:t>
      </w:r>
      <w:r>
        <w:t xml:space="preserve">a vocabulary artifact and the ranking, not the level, is what transfers.</w:t>
      </w:r>
    </w:p>
    <w:bookmarkEnd w:id="34"/>
    <w:bookmarkStart w:id="35" w:name="harness-isolation-and-hardware"/>
    <w:p>
      <w:pPr>
        <w:pStyle w:val="Heading2"/>
      </w:pPr>
      <w:r>
        <w:t xml:space="preserve">Harness, isolation, and hardware</w:t>
      </w:r>
    </w:p>
    <w:p>
      <w:pPr>
        <w:pStyle w:val="FirstParagraph"/>
      </w:pPr>
      <w:r>
        <w:t xml:space="preserve">Each method runs in</w:t>
      </w:r>
      <w:r>
        <w:t xml:space="preserve"> </w:t>
      </w:r>
      <w:r>
        <w:rPr>
          <w:b/>
          <w:bCs/>
        </w:rPr>
        <w:t xml:space="preserve">its own virtual environment, as a separate process</w:t>
      </w:r>
      <w:r>
        <w:t xml:space="preserve">, because the</w:t>
      </w:r>
      <w:r>
        <w:t xml:space="preserve"> </w:t>
      </w:r>
      <w:r>
        <w:t xml:space="preserve">dependency sets are mutually unsatisfiable — scVI-based methods, TensorFlow/Keras (Pan-human</w:t>
      </w:r>
      <w:r>
        <w:t xml:space="preserve"> </w:t>
      </w:r>
      <w:r>
        <w:t xml:space="preserve">Azimuth), R (SingleR, scmap) and the JAX core cannot coexist in one interpreter. One driver</w:t>
      </w:r>
      <w:r>
        <w:t xml:space="preserve"> </w:t>
      </w:r>
      <w:r>
        <w:t xml:space="preserve">builds the reference/query split</w:t>
      </w:r>
      <w:r>
        <w:t xml:space="preserve"> </w:t>
      </w:r>
      <w:r>
        <w:rPr>
          <w:b/>
          <w:bCs/>
        </w:rPr>
        <w:t xml:space="preserve">once per dataset</w:t>
      </w:r>
      <w:r>
        <w:t xml:space="preserve"> </w:t>
      </w:r>
      <w:r>
        <w:t xml:space="preserve">from a fixed seed and hands the</w:t>
      </w:r>
      <w:r>
        <w:t xml:space="preserve"> </w:t>
      </w:r>
      <w:r>
        <w:t xml:space="preserve">identical pair to every method, so no method sees a different split.</w:t>
      </w:r>
      <w:r>
        <w:t xml:space="preserve"> </w:t>
      </w:r>
      <w:r>
        <w:rPr>
          <w:b/>
          <w:bCs/>
        </w:rPr>
        <w:t xml:space="preserve">repeats = 3</w:t>
      </w:r>
      <w:r>
        <w:t xml:space="preserve">; scPRINT and Pan-human Azimuth run once</w:t>
      </w:r>
      <w:r>
        <w:t xml:space="preserve"> </w:t>
      </w:r>
      <w:r>
        <w:t xml:space="preserve">each, being deterministic given a fixed query and dominated by a single forward pass.</w:t>
      </w:r>
    </w:p>
    <w:p>
      <w:pPr>
        <w:pStyle w:val="BodyText"/>
      </w:pPr>
      <w:r>
        <w:t xml:space="preserve">Resource accounting is per subprocess: fit and predict are timed separately and peak RSS is</w:t>
      </w:r>
      <w:r>
        <w:t xml:space="preserve"> </w:t>
      </w:r>
      <w:r>
        <w:t xml:space="preserve">sampled by a monitor thread in the child, so one method’s footprint cannot be attributed to</w:t>
      </w:r>
      <w:r>
        <w:t xml:space="preserve"> </w:t>
      </w:r>
      <w:r>
        <w:t xml:space="preserve">another.</w:t>
      </w:r>
    </w:p>
    <w:p>
      <w:pPr>
        <w:pStyle w:val="BodyText"/>
      </w:pPr>
      <w:r>
        <w:rPr>
          <w:b/>
          <w:bCs/>
        </w:rPr>
        <w:t xml:space="preserve">Hardware</w:t>
      </w:r>
      <w:r>
        <w:t xml:space="preserve">: Apple Silicon (M-series), CPU for the classical, linear, correlation and</w:t>
      </w:r>
      <w:r>
        <w:t xml:space="preserve"> </w:t>
      </w:r>
      <w:r>
        <w:t xml:space="preserve">pretrained tiers and for actinn-jax; Apple MPS for the deep and foundation tiers. No discrete</w:t>
      </w:r>
      <w:r>
        <w:t xml:space="preserve"> </w:t>
      </w:r>
      <w:r>
        <w:t xml:space="preserve">GPU, no cloud — the regime the benchmark is about. Math-library threads are left uncapped, so</w:t>
      </w:r>
      <w:r>
        <w:t xml:space="preserve"> </w:t>
      </w:r>
      <w:r>
        <w:t xml:space="preserve">wall-clock is what a practitioner sees; an optional thread cap exists for stricter</w:t>
      </w:r>
      <w:r>
        <w:t xml:space="preserve"> </w:t>
      </w:r>
      <w:r>
        <w:t xml:space="preserve">reproducibility. §3.7 repeats the comparison on one cloud CPU instance, where matched</w:t>
      </w:r>
      <w:r>
        <w:t xml:space="preserve"> </w:t>
      </w:r>
      <w:r>
        <w:t xml:space="preserve">concurrency matters and is discussed (§2.10).</w:t>
      </w:r>
    </w:p>
    <w:bookmarkEnd w:id="35"/>
    <w:bookmarkStart w:id="37" w:name="building-a-broad-reference"/>
    <w:p>
      <w:pPr>
        <w:pStyle w:val="Heading2"/>
      </w:pPr>
      <w:r>
        <w:t xml:space="preserve">Building a broad reference</w:t>
      </w:r>
    </w:p>
    <w:p>
      <w:pPr>
        <w:pStyle w:val="FirstParagraph"/>
      </w:pPr>
      <w:r>
        <w:t xml:space="preserve">The shipped broad-pass references (§3.4) are built once, offline, by a three-stage pipeline</w:t>
      </w:r>
      <w:r>
        <w:t xml:space="preserve"> </w:t>
      </w:r>
      <w:r>
        <w:t xml:space="preserve">driven by one command (S5 in the</w:t>
      </w:r>
      <w:r>
        <w:t xml:space="preserve"> </w:t>
      </w:r>
      <w:hyperlink r:id="rId33">
        <w:r>
          <w:rPr>
            <w:rStyle w:val="Hyperlink"/>
          </w:rPr>
          <w:t xml:space="preserve">benchmark repository</w:t>
        </w:r>
      </w:hyperlink>
      <w:r>
        <w:t xml:space="preserve">).</w:t>
      </w:r>
    </w:p>
    <w:p>
      <w:pPr>
        <w:pStyle w:val="BodyText"/>
      </w:pPr>
      <w:r>
        <w:rPr>
          <w:b/>
          <w:bCs/>
        </w:rPr>
        <w:t xml:space="preserve">Sampling.</w:t>
      </w:r>
      <w:r>
        <w:t xml:space="preserve"> </w:t>
      </w:r>
      <w:r>
        <w:t xml:space="preserve">Every primary cell for one organism in the CELLxGENE Census</w:t>
      </w:r>
      <w:r>
        <w:t xml:space="preserve"> </w:t>
      </w:r>
      <w:hyperlink r:id="rId36">
        <w:r>
          <w:rPr>
            <w:rStyle w:val="Hyperlink"/>
          </w:rPr>
          <w:t xml:space="preserve">[CZI Census 2025]</w:t>
        </w:r>
      </w:hyperlink>
      <w:r>
        <w:t xml:space="preserve"> </w:t>
      </w:r>
      <w:r>
        <w:t xml:space="preserve">— primary meaning the copy the census designates canonical, so cells deposited in more than</w:t>
      </w:r>
      <w:r>
        <w:t xml:space="preserve"> </w:t>
      </w:r>
      <w:r>
        <w:t xml:space="preserve">one study are counted once — stratified by cell type at a fixed cap per type: 40 for</w:t>
      </w:r>
      <w:r>
        <w:t xml:space="preserve"> </w:t>
      </w:r>
      <w:r>
        <w:rPr>
          <w:rStyle w:val="VerbatimChar"/>
        </w:rPr>
        <w:t xml:space="preserve">broad_human_v1</w:t>
      </w:r>
      <w:r>
        <w:t xml:space="preserve">, 60 for the later human and mouse pulls. Types with fewer than 12 cells are</w:t>
      </w:r>
      <w:r>
        <w:t xml:space="preserve"> </w:t>
      </w:r>
      <w:r>
        <w:t xml:space="preserve">dropped, as are labels that carry no information (</w:t>
      </w:r>
      <w:r>
        <w:t xml:space="preserve">“unknown”</w:t>
      </w:r>
      <w:r>
        <w:t xml:space="preserve">,</w:t>
      </w:r>
      <w:r>
        <w:t xml:space="preserve"> </w:t>
      </w:r>
      <w:r>
        <w:t xml:space="preserve">“native cell”</w:t>
      </w:r>
      <w:r>
        <w:t xml:space="preserve">,</w:t>
      </w:r>
      <w:r>
        <w:t xml:space="preserve"> </w:t>
      </w:r>
      <w:r>
        <w:t xml:space="preserve">“eukaryotic</w:t>
      </w:r>
      <w:r>
        <w:t xml:space="preserve"> </w:t>
      </w:r>
      <w:r>
        <w:t xml:space="preserve">cell”</w:t>
      </w:r>
      <w:r>
        <w:t xml:space="preserve">,</w:t>
      </w:r>
      <w:r>
        <w:t xml:space="preserve"> </w:t>
      </w:r>
      <w:r>
        <w:t xml:space="preserve">“animal cell”</w:t>
      </w:r>
      <w:r>
        <w:t xml:space="preserve">). The pull is checkpointed every ten datasets and retried, since</w:t>
      </w:r>
      <w:r>
        <w:t xml:space="preserve"> </w:t>
      </w:r>
      <w:r>
        <w:t xml:space="preserve">transient object-store read errors are routine at this scale. Genes are carried under both</w:t>
      </w:r>
      <w:r>
        <w:t xml:space="preserve"> </w:t>
      </w:r>
      <w:r>
        <w:t xml:space="preserve">Ensembl ids and symbols, because a symbol-keyed consumer cannot use an Ensembl-only pull.</w:t>
      </w:r>
      <w:r>
        <w:t xml:space="preserve"> </w:t>
      </w:r>
      <w:r>
        <w:t xml:space="preserve">The census</w:t>
      </w:r>
      <w:r>
        <w:t xml:space="preserve"> </w:t>
      </w:r>
      <w:r>
        <w:t xml:space="preserve">“stable”</w:t>
      </w:r>
      <w:r>
        <w:t xml:space="preserve"> </w:t>
      </w:r>
      <w:r>
        <w:t xml:space="preserve">alias is a moving pointer, so the release it resolved to is recorded;</w:t>
      </w:r>
      <w:r>
        <w:t xml:space="preserve"> </w:t>
      </w:r>
      <w:r>
        <w:t xml:space="preserve">every reference here comes from</w:t>
      </w:r>
      <w:r>
        <w:t xml:space="preserve"> </w:t>
      </w:r>
      <w:r>
        <w:rPr>
          <w:b/>
          <w:bCs/>
        </w:rPr>
        <w:t xml:space="preserve">census 2025-11-08</w:t>
      </w:r>
      <w:r>
        <w:t xml:space="preserve">.</w:t>
      </w:r>
    </w:p>
    <w:p>
      <w:pPr>
        <w:pStyle w:val="BodyText"/>
      </w:pPr>
      <w:r>
        <w:rPr>
          <w:b/>
          <w:bCs/>
        </w:rPr>
        <w:t xml:space="preserve">Coarse hierarchy — two interchangeable routes.</w:t>
      </w:r>
      <w:r>
        <w:t xml:space="preserve"> </w:t>
      </w:r>
      <w:r>
        <w:t xml:space="preserve">The model is a coarse classifier over</w:t>
      </w:r>
      <w:r>
        <w:t xml:space="preserve"> </w:t>
      </w:r>
      <w:r>
        <w:t xml:space="preserve">groups plus one fine classifier per group, and the grouping comes from either:</w:t>
      </w:r>
    </w:p>
    <w:p>
      <w:pPr>
        <w:pStyle w:val="Compact"/>
        <w:numPr>
          <w:ilvl w:val="0"/>
          <w:numId w:val="1004"/>
        </w:numPr>
      </w:pPr>
      <w:r>
        <w:rPr>
          <w:b/>
          <w:bCs/>
        </w:rPr>
        <w:t xml:space="preserve">Foundation-model embeddings.</w:t>
      </w:r>
      <w:r>
        <w:t xml:space="preserve"> </w:t>
      </w:r>
      <w:r>
        <w:t xml:space="preserve">scPRINT (medium-v1.5) embeds the reference once in</w:t>
      </w:r>
      <w:r>
        <w:t xml:space="preserve"> </w:t>
      </w:r>
      <w:r>
        <w:t xml:space="preserve">4,000-cell chunks; per-cell-type centroids are Ward-clustered into roughly √(number of</w:t>
      </w:r>
      <w:r>
        <w:t xml:space="preserve"> </w:t>
      </w:r>
      <w:r>
        <w:t xml:space="preserve">types) groups, with a floor of eight. scPRINT’s QC drops cells, so the embedding is not</w:t>
      </w:r>
      <w:r>
        <w:t xml:space="preserve"> </w:t>
      </w:r>
      <w:r>
        <w:t xml:space="preserve">positionally aligned to the input and the label is carried through the model with the</w:t>
      </w:r>
      <w:r>
        <w:t xml:space="preserve"> </w:t>
      </w:r>
      <w:r>
        <w:t xml:space="preserve">vectors. This is the only step that wants a GPU/MPS.</w:t>
      </w:r>
    </w:p>
    <w:p>
      <w:pPr>
        <w:pStyle w:val="Compact"/>
        <w:numPr>
          <w:ilvl w:val="0"/>
          <w:numId w:val="1004"/>
        </w:numPr>
      </w:pPr>
      <w:r>
        <w:rPr>
          <w:b/>
          <w:bCs/>
        </w:rPr>
        <w:t xml:space="preserve">Cell Ontology lineage.</w:t>
      </w:r>
      <w:r>
        <w:t xml:space="preserve"> </w:t>
      </w:r>
      <w:r>
        <w:t xml:space="preserve">Each cell type is described by a binary indicator over the CL</w:t>
      </w:r>
      <w:r>
        <w:t xml:space="preserve"> </w:t>
      </w:r>
      <w:r>
        <w:t xml:space="preserve">terms it descends from; terms appearing in fewer than two types, or in all of them, are</w:t>
      </w:r>
      <w:r>
        <w:t xml:space="preserve"> </w:t>
      </w:r>
      <w:r>
        <w:t xml:space="preserve">dropped as uninformative; the same Ward clustering is applied to those vectors.</w:t>
      </w:r>
      <w:r>
        <w:t xml:space="preserve"> </w:t>
      </w:r>
      <w:r>
        <w:t xml:space="preserve">Free, deterministic, and species-independent — which is what</w:t>
      </w:r>
      <w:r>
        <w:t xml:space="preserve"> </w:t>
      </w:r>
      <w:r>
        <w:t xml:space="preserve">makes the pan-mouse reference possible, since the distillation teacher is human-only and</w:t>
      </w:r>
      <w:r>
        <w:t xml:space="preserve"> </w:t>
      </w:r>
      <w:r>
        <w:t xml:space="preserve">scPRINT’s mouse support is untested here. §3.4 compares the two routes against a</w:t>
      </w:r>
      <w:r>
        <w:t xml:space="preserve"> </w:t>
      </w:r>
      <w:r>
        <w:t xml:space="preserve">random-grouping control.</w:t>
      </w:r>
    </w:p>
    <w:p>
      <w:pPr>
        <w:pStyle w:val="FirstParagraph"/>
      </w:pPr>
      <w:r>
        <w:rPr>
          <w:b/>
          <w:bCs/>
        </w:rPr>
        <w:t xml:space="preserve">Training and calibration.</w:t>
      </w:r>
      <w:r>
        <w:t xml:space="preserve"> </w:t>
      </w:r>
      <w:r>
        <w:t xml:space="preserve">A 4,000-gene panel of</w:t>
      </w:r>
      <w:r>
        <w:t xml:space="preserve"> </w:t>
      </w:r>
      <w:r>
        <w:rPr>
          <w:b/>
          <w:bCs/>
        </w:rPr>
        <w:t xml:space="preserve">highly variable genes (HVGs)</w:t>
      </w:r>
      <w:r>
        <w:t xml:space="preserve"> </w:t>
      </w:r>
      <w:r>
        <w:t xml:space="preserve">— the</w:t>
      </w:r>
      <w:r>
        <w:t xml:space="preserve"> </w:t>
      </w:r>
      <w:r>
        <w:t xml:space="preserve">genes that differ most across cells, and so carry most of the signal for telling types apart —</w:t>
      </w:r>
      <w:r>
        <w:t xml:space="preserve"> </w:t>
      </w:r>
      <w:r>
        <w:t xml:space="preserve">is selected on the reference; the coarse</w:t>
      </w:r>
      <w:r>
        <w:t xml:space="preserve"> </w:t>
      </w:r>
      <w:r>
        <w:t xml:space="preserve">and per-group fine models are trained on it. Abstain calibration holds out</w:t>
      </w:r>
      <w:r>
        <w:t xml:space="preserve"> </w:t>
      </w:r>
      <w:r>
        <w:rPr>
          <w:b/>
          <w:bCs/>
        </w:rPr>
        <w:t xml:space="preserve">10% of cell types</w:t>
      </w:r>
      <w:r>
        <w:rPr>
          <w:b/>
          <w:bCs/>
        </w:rPr>
        <w:t xml:space="preserve"> </w:t>
      </w:r>
      <w:r>
        <w:rPr>
          <w:b/>
          <w:bCs/>
        </w:rPr>
        <w:t xml:space="preserve">entirely</w:t>
      </w:r>
      <w:r>
        <w:t xml:space="preserve"> </w:t>
      </w:r>
      <w:r>
        <w:t xml:space="preserve">as out-of-distribution (OOD — types the model was never trained on, standing in for</w:t>
      </w:r>
      <w:r>
        <w:t xml:space="preserve"> </w:t>
      </w:r>
      <w:r>
        <w:t xml:space="preserve">the novel populations a real query contains), plus a 20% within-type test split, and sweeps</w:t>
      </w:r>
      <w:r>
        <w:t xml:space="preserve"> </w:t>
      </w:r>
      <w:r>
        <w:t xml:space="preserve">the confidence threshold to trade coverage against accuracy on kept cells — the table each</w:t>
      </w:r>
      <w:r>
        <w:t xml:space="preserve"> </w:t>
      </w:r>
      <w:r>
        <w:t xml:space="preserve">shipped reference reports.</w:t>
      </w:r>
    </w:p>
    <w:p>
      <w:pPr>
        <w:pStyle w:val="BodyText"/>
      </w:pPr>
      <w:r>
        <w:rPr>
          <w:b/>
          <w:bCs/>
        </w:rPr>
        <w:t xml:space="preserve">Shipping and verification.</w:t>
      </w:r>
      <w:r>
        <w:t xml:space="preserve"> </w:t>
      </w:r>
      <w:r>
        <w:t xml:space="preserve">Each reference ships with a build record: census release,</w:t>
      </w:r>
      <w:r>
        <w:t xml:space="preserve"> </w:t>
      </w:r>
      <w:r>
        <w:t xml:space="preserve">corpus sizes, hierarchy route, organism and calibration table. Because a rebuild can train</w:t>
      </w:r>
      <w:r>
        <w:t xml:space="preserve"> </w:t>
      </w:r>
      <w:r>
        <w:t xml:space="preserve">cleanly and annotate</w:t>
      </w:r>
      <w:r>
        <w:t xml:space="preserve"> </w:t>
      </w:r>
      <w:r>
        <w:rPr>
          <w:i/>
          <w:iCs/>
        </w:rPr>
        <w:t xml:space="preserve">worse</w:t>
      </w:r>
      <w:r>
        <w:t xml:space="preserve">, the previous reference is backed up and the new one is scored</w:t>
      </w:r>
      <w:r>
        <w:t xml:space="preserve"> </w:t>
      </w:r>
      <w:r>
        <w:t xml:space="preserve">on a held-out atlas before it is kept. For</w:t>
      </w:r>
      <w:r>
        <w:t xml:space="preserve"> </w:t>
      </w:r>
      <w:r>
        <w:rPr>
          <w:rStyle w:val="VerbatimChar"/>
        </w:rPr>
        <w:t xml:space="preserve">broad_mouse_v1</w:t>
      </w:r>
      <w:r>
        <w:t xml:space="preserve"> </w:t>
      </w:r>
      <w:r>
        <w:t xml:space="preserve">the test set is carved from the</w:t>
      </w:r>
      <w:r>
        <w:t xml:space="preserve"> </w:t>
      </w:r>
      <w:r>
        <w:t xml:space="preserve">census itself: two datasets are excluded from the reference sample and re-pulled as the</w:t>
      </w:r>
      <w:r>
        <w:t xml:space="preserve"> </w:t>
      </w:r>
      <w:r>
        <w:t xml:space="preserve">query, so</w:t>
      </w:r>
      <w:r>
        <w:t xml:space="preserve"> </w:t>
      </w:r>
      <w:r>
        <w:t xml:space="preserve">“held out”</w:t>
      </w:r>
      <w:r>
        <w:t xml:space="preserve"> </w:t>
      </w:r>
      <w:r>
        <w:t xml:space="preserve">means held-out</w:t>
      </w:r>
      <w:r>
        <w:t xml:space="preserve"> </w:t>
      </w:r>
      <w:r>
        <w:rPr>
          <w:i/>
          <w:iCs/>
        </w:rPr>
        <w:t xml:space="preserve">datasets</w:t>
      </w:r>
      <w:r>
        <w:t xml:space="preserve"> </w:t>
      </w:r>
      <w:r>
        <w:t xml:space="preserve">and not merely held-out cells.</w:t>
      </w:r>
    </w:p>
    <w:bookmarkEnd w:id="37"/>
    <w:bookmarkStart w:id="38" w:name="distilling-a-pretrained-annotator"/>
    <w:p>
      <w:pPr>
        <w:pStyle w:val="Heading2"/>
      </w:pPr>
      <w:r>
        <w:t xml:space="preserve">Distilling a pretrained annotator</w:t>
      </w:r>
    </w:p>
    <w:p>
      <w:pPr>
        <w:pStyle w:val="FirstParagraph"/>
      </w:pPr>
      <w:r>
        <w:t xml:space="preserve">A broad reference can also be built without labels and without a GPU, by taking both the label</w:t>
      </w:r>
      <w:r>
        <w:t xml:space="preserve"> </w:t>
      </w:r>
      <w:r>
        <w:t xml:space="preserve">vocabulary and the hierarchy from an existing pretrained annotator</w:t>
      </w:r>
      <w:r>
        <w:t xml:space="preserve"> </w:t>
      </w:r>
      <w:r>
        <w:t xml:space="preserve">(S6). Keras/TensorFlow and JAX cannot share a process,</w:t>
      </w:r>
      <w:r>
        <w:t xml:space="preserve"> </w:t>
      </w:r>
      <w:r>
        <w:t xml:space="preserve">so this runs in two stages.</w:t>
      </w:r>
    </w:p>
    <w:p>
      <w:pPr>
        <w:pStyle w:val="BodyText"/>
      </w:pPr>
      <w:r>
        <w:rPr>
          <w:b/>
          <w:bCs/>
        </w:rPr>
        <w:t xml:space="preserve">Teacher pass.</w:t>
      </w:r>
      <w:r>
        <w:t xml:space="preserve"> </w:t>
      </w:r>
      <w:r>
        <w:t xml:space="preserve">Pan-human Azimuth labels a corpus of raw counts through its low-level API</w:t>
      </w:r>
      <w:r>
        <w:t xml:space="preserve"> </w:t>
      </w:r>
      <w:r>
        <w:t xml:space="preserve">in batches of 8,192, which loads the weights once rather than once per call. All eight levels</w:t>
      </w:r>
      <w:r>
        <w:t xml:space="preserve"> </w:t>
      </w:r>
      <w:r>
        <w:t xml:space="preserve">are retained. Where the package cannot reconcile a refined level with its coarser ones it</w:t>
      </w:r>
      <w:r>
        <w:t xml:space="preserve"> </w:t>
      </w:r>
      <w:r>
        <w:t xml:space="preserve">blanks that column; those cells still</w:t>
      </w:r>
      <w:r>
        <w:t xml:space="preserve"> </w:t>
      </w:r>
      <w:r>
        <w:t xml:space="preserve">carry a deepest-level call, so we fall back to it rather than discard them — dropping them</w:t>
      </w:r>
      <w:r>
        <w:t xml:space="preserve"> </w:t>
      </w:r>
      <w:r>
        <w:t xml:space="preserve">would distill only the cells the teacher found easy. Predictions are mapped to CL ids through</w:t>
      </w:r>
      <w:r>
        <w:t xml:space="preserve"> </w:t>
      </w:r>
      <w:r>
        <w:t xml:space="preserve">the package’s own crosswalk.</w:t>
      </w:r>
    </w:p>
    <w:p>
      <w:pPr>
        <w:pStyle w:val="BodyText"/>
      </w:pPr>
      <w:r>
        <w:rPr>
          <w:b/>
          <w:bCs/>
        </w:rPr>
        <w:t xml:space="preserve">Student pass.</w:t>
      </w:r>
      <w:r>
        <w:t xml:space="preserve"> </w:t>
      </w:r>
      <w:r>
        <w:t xml:space="preserve">The student is a hierarchical actinn-jax reference whose</w:t>
      </w:r>
      <w:r>
        <w:t xml:space="preserve"> </w:t>
      </w:r>
      <w:r>
        <w:rPr>
          <w:b/>
          <w:bCs/>
        </w:rPr>
        <w:t xml:space="preserve">classes</w:t>
      </w:r>
      <w:r>
        <w:t xml:space="preserve"> </w:t>
      </w:r>
      <w:r>
        <w:t xml:space="preserve">are</w:t>
      </w:r>
      <w:r>
        <w:t xml:space="preserve"> </w:t>
      </w:r>
      <w:r>
        <w:t xml:space="preserve">the teacher’s refined fine labels (including its trained</w:t>
      </w:r>
      <w:r>
        <w:t xml:space="preserve"> </w:t>
      </w:r>
      <w:r>
        <w:rPr>
          <w:rStyle w:val="VerbatimChar"/>
        </w:rPr>
        <w:t xml:space="preserve">Unassigned</w:t>
      </w:r>
      <w:r>
        <w:t xml:space="preserve"> </w:t>
      </w:r>
      <w:r>
        <w:t xml:space="preserve">quality-control class)</w:t>
      </w:r>
      <w:r>
        <w:t xml:space="preserve"> </w:t>
      </w:r>
      <w:r>
        <w:t xml:space="preserve">and whose</w:t>
      </w:r>
      <w:r>
        <w:t xml:space="preserve"> </w:t>
      </w:r>
      <w:r>
        <w:rPr>
          <w:b/>
          <w:bCs/>
        </w:rPr>
        <w:t xml:space="preserve">hierarchy</w:t>
      </w:r>
      <w:r>
        <w:t xml:space="preserve"> </w:t>
      </w:r>
      <w:r>
        <w:t xml:space="preserve">is the</w:t>
      </w:r>
      <w:r>
        <w:t xml:space="preserve"> </w:t>
      </w:r>
      <w:r>
        <w:t xml:space="preserve">teacher’s own broad level — so the coarse→fine structure is inherited rather than rediscovered.</w:t>
      </w:r>
      <w:r>
        <w:t xml:space="preserve"> </w:t>
      </w:r>
      <w:r>
        <w:t xml:space="preserve">4,000-gene HVG panel; classes with fewer than 8 cells dropped, since a class that cannot be</w:t>
      </w:r>
      <w:r>
        <w:t xml:space="preserve"> </w:t>
      </w:r>
      <w:r>
        <w:t xml:space="preserve">split into train and test makes fidelity depend on which side its cells landed.</w:t>
      </w:r>
    </w:p>
    <w:p>
      <w:pPr>
        <w:pStyle w:val="BodyText"/>
      </w:pPr>
      <w:r>
        <w:rPr>
          <w:b/>
          <w:bCs/>
        </w:rPr>
        <w:t xml:space="preserve">Corpus.</w:t>
      </w:r>
      <w:r>
        <w:t xml:space="preserve"> </w:t>
      </w:r>
      <w:r>
        <w:t xml:space="preserve">Three local atlases (lung, liver, blood+gut) capped at 600 cells per label, plus a</w:t>
      </w:r>
      <w:r>
        <w:t xml:space="preserve"> </w:t>
      </w:r>
      <w:r>
        <w:t xml:space="preserve">census-wide pull (≤60 per type). The atlases’ own labels are used</w:t>
      </w:r>
      <w:r>
        <w:t xml:space="preserve"> </w:t>
      </w:r>
      <w:r>
        <w:rPr>
          <w:b/>
          <w:bCs/>
        </w:rPr>
        <w:t xml:space="preserve">only for scoring</w:t>
      </w:r>
      <w:r>
        <w:t xml:space="preserve">, never</w:t>
      </w:r>
      <w:r>
        <w:t xml:space="preserve"> </w:t>
      </w:r>
      <w:r>
        <w:t xml:space="preserve">for training.</w:t>
      </w:r>
    </w:p>
    <w:p>
      <w:pPr>
        <w:pStyle w:val="BodyText"/>
      </w:pPr>
      <w:r>
        <w:rPr>
          <w:b/>
          <w:bCs/>
        </w:rPr>
        <w:t xml:space="preserve">Evaluation.</w:t>
      </w:r>
      <w:r>
        <w:t xml:space="preserve"> </w:t>
      </w:r>
      <w:r>
        <w:t xml:space="preserve">Two arms answer different questions.</w:t>
      </w:r>
      <w:r>
        <w:t xml:space="preserve"> </w:t>
      </w:r>
      <w:r>
        <w:rPr>
          <w:i/>
          <w:iCs/>
        </w:rPr>
        <w:t xml:space="preserve">In-corpus</w:t>
      </w:r>
      <w:r>
        <w:t xml:space="preserve"> </w:t>
      </w:r>
      <w:r>
        <w:t xml:space="preserve">holds out a stratified 25% of</w:t>
      </w:r>
      <w:r>
        <w:t xml:space="preserve"> </w:t>
      </w:r>
      <w:r>
        <w:t xml:space="preserve">cells and measures</w:t>
      </w:r>
      <w:r>
        <w:t xml:space="preserve"> </w:t>
      </w:r>
      <w:r>
        <w:rPr>
          <w:b/>
          <w:bCs/>
        </w:rPr>
        <w:t xml:space="preserve">fidelity</w:t>
      </w:r>
      <w:r>
        <w:t xml:space="preserve"> </w:t>
      </w:r>
      <w:r>
        <w:t xml:space="preserve">— how often the student reproduces the teacher, exactly and</w:t>
      </w:r>
      <w:r>
        <w:t xml:space="preserve"> </w:t>
      </w:r>
      <w:r>
        <w:t xml:space="preserve">ontology-equivalently.</w:t>
      </w:r>
      <w:r>
        <w:t xml:space="preserve"> </w:t>
      </w:r>
      <w:r>
        <w:rPr>
          <w:i/>
          <w:iCs/>
        </w:rPr>
        <w:t xml:space="preserve">Held-out atlas</w:t>
      </w:r>
      <w:r>
        <w:t xml:space="preserve"> </w:t>
      </w:r>
      <w:r>
        <w:t xml:space="preserve">withholds an entire atlas and measures whether the</w:t>
      </w:r>
      <w:r>
        <w:t xml:space="preserve"> </w:t>
      </w:r>
      <w:r>
        <w:t xml:space="preserve">student generalizes to data the corpus never covered. Both arms also score student and teacher</w:t>
      </w:r>
      <w:r>
        <w:t xml:space="preserve"> </w:t>
      </w:r>
      <w:r>
        <w:t xml:space="preserve">against the atlases’ own labels, which separates distillation loss from teacher error. Note</w:t>
      </w:r>
      <w:r>
        <w:t xml:space="preserve"> </w:t>
      </w:r>
      <w:r>
        <w:t xml:space="preserve">that once the census pull is in the corpus, a withheld</w:t>
      </w:r>
      <w:r>
        <w:t xml:space="preserve"> </w:t>
      </w:r>
      <w:r>
        <w:rPr>
          <w:i/>
          <w:iCs/>
        </w:rPr>
        <w:t xml:space="preserve">atlas</w:t>
      </w:r>
      <w:r>
        <w:t xml:space="preserve"> </w:t>
      </w:r>
      <w:r>
        <w:t xml:space="preserve">is no longer a withheld</w:t>
      </w:r>
      <w:r>
        <w:t xml:space="preserve"> </w:t>
      </w:r>
      <w:r>
        <w:rPr>
          <w:i/>
          <w:iCs/>
        </w:rPr>
        <w:t xml:space="preserve">tissue</w:t>
      </w:r>
      <w:r>
        <w:t xml:space="preserve">.</w:t>
      </w:r>
    </w:p>
    <w:bookmarkEnd w:id="38"/>
    <w:bookmarkStart w:id="39" w:name="refinement-abstention-and-novelty"/>
    <w:p>
      <w:pPr>
        <w:pStyle w:val="Heading2"/>
      </w:pPr>
      <w:r>
        <w:t xml:space="preserve">Refinement, abstention, and novelty</w:t>
      </w:r>
    </w:p>
    <w:p>
      <w:pPr>
        <w:pStyle w:val="FirstParagraph"/>
      </w:pPr>
      <w:r>
        <w:t xml:space="preserve">Four mechanisms operate on a trained reference at inference time, all label-free.</w:t>
      </w:r>
    </w:p>
    <w:p>
      <w:pPr>
        <w:pStyle w:val="Compact"/>
        <w:numPr>
          <w:ilvl w:val="0"/>
          <w:numId w:val="1005"/>
        </w:numPr>
      </w:pPr>
      <w:r>
        <w:rPr>
          <w:b/>
          <w:bCs/>
        </w:rPr>
        <w:t xml:space="preserve">Confidence abstention.</w:t>
      </w:r>
      <w:r>
        <w:t xml:space="preserve"> </w:t>
      </w:r>
      <w:r>
        <w:t xml:space="preserve">Cells whose final probability is below a threshold are relabeled</w:t>
      </w:r>
      <w:r>
        <w:t xml:space="preserve"> </w:t>
      </w:r>
      <w:r>
        <w:t xml:space="preserve">“unknown”</w:t>
      </w:r>
      <w:r>
        <w:t xml:space="preserve"> </w:t>
      </w:r>
      <w:r>
        <w:t xml:space="preserve">rather than forced to the nearest class. Calibrated per reference (§2.6).</w:t>
      </w:r>
    </w:p>
    <w:p>
      <w:pPr>
        <w:pStyle w:val="Compact"/>
        <w:numPr>
          <w:ilvl w:val="0"/>
          <w:numId w:val="1005"/>
        </w:numPr>
      </w:pPr>
      <w:r>
        <w:rPr>
          <w:b/>
          <w:bCs/>
        </w:rPr>
        <w:t xml:space="preserve">Refinement to the query.</w:t>
      </w:r>
      <w:r>
        <w:t xml:space="preserve"> </w:t>
      </w:r>
      <w:r>
        <w:t xml:space="preserve">The reference’s class set is masked to those classes the</w:t>
      </w:r>
      <w:r>
        <w:t xml:space="preserve"> </w:t>
      </w:r>
      <w:r>
        <w:t xml:space="preserve">query’s own predictions actually support, and the softmax renormalized — no ground truth,</w:t>
      </w:r>
      <w:r>
        <w:t xml:space="preserve"> </w:t>
      </w:r>
      <w:r>
        <w:t xml:space="preserve">no retraining.</w:t>
      </w:r>
    </w:p>
    <w:p>
      <w:pPr>
        <w:pStyle w:val="Compact"/>
        <w:numPr>
          <w:ilvl w:val="0"/>
          <w:numId w:val="1005"/>
        </w:numPr>
      </w:pPr>
      <w:r>
        <w:rPr>
          <w:b/>
          <w:bCs/>
        </w:rPr>
        <w:t xml:space="preserve">Refinement to a tissue.</w:t>
      </w:r>
      <w:r>
        <w:t xml:space="preserve"> </w:t>
      </w:r>
      <w:r>
        <w:t xml:space="preserve">Classes are masked to those the census records in the given</w:t>
      </w:r>
      <w:r>
        <w:t xml:space="preserve"> </w:t>
      </w:r>
      <w:r>
        <w:t xml:space="preserve">tissue, while</w:t>
      </w:r>
      <w:r>
        <w:t xml:space="preserve"> </w:t>
      </w:r>
      <w:r>
        <w:rPr>
          <w:b/>
          <w:bCs/>
        </w:rPr>
        <w:t xml:space="preserve">pan-tissue</w:t>
      </w:r>
      <w:r>
        <w:t xml:space="preserve"> </w:t>
      </w:r>
      <w:r>
        <w:t xml:space="preserve">types (immune, endothelial, stromal) stay available</w:t>
      </w:r>
      <w:r>
        <w:t xml:space="preserve"> </w:t>
      </w:r>
      <w:r>
        <w:t xml:space="preserve">everywhere, so liver-resident T cells are unaffected. The per-class tissue map is baked</w:t>
      </w:r>
      <w:r>
        <w:t xml:space="preserve"> </w:t>
      </w:r>
      <w:r>
        <w:t xml:space="preserve">into the shipped reference; the tissue is given explicitly or read from the query’s own</w:t>
      </w:r>
      <w:r>
        <w:t xml:space="preserve"> </w:t>
      </w:r>
      <w:r>
        <w:t xml:space="preserve">metadata, with common synonyms (PBMC→blood, hepatic→liver) recognized. A tissue outside</w:t>
      </w:r>
      <w:r>
        <w:t xml:space="preserve"> </w:t>
      </w:r>
      <w:r>
        <w:t xml:space="preserve">the reference’s vocabulary imposes no filter rather than an empty one.</w:t>
      </w:r>
    </w:p>
    <w:p>
      <w:pPr>
        <w:pStyle w:val="Compact"/>
        <w:numPr>
          <w:ilvl w:val="0"/>
          <w:numId w:val="1005"/>
        </w:numPr>
      </w:pPr>
      <w:r>
        <w:rPr>
          <w:b/>
          <w:bCs/>
        </w:rPr>
        <w:t xml:space="preserve">Cluster-level novelty screen.</w:t>
      </w:r>
      <w:r>
        <w:t xml:space="preserve"> </w:t>
      </w:r>
      <w:r>
        <w:t xml:space="preserve">A cell type absent from the reference appears not as</w:t>
      </w:r>
      <w:r>
        <w:t xml:space="preserve"> </w:t>
      </w:r>
      <w:r>
        <w:t xml:space="preserve">scattered uncertain cells but as a</w:t>
      </w:r>
      <w:r>
        <w:t xml:space="preserve"> </w:t>
      </w:r>
      <w:r>
        <w:rPr>
          <w:i/>
          <w:iCs/>
        </w:rPr>
        <w:t xml:space="preserve">coherent group the reference cannot confidently</w:t>
      </w:r>
      <w:r>
        <w:rPr>
          <w:i/>
          <w:iCs/>
        </w:rPr>
        <w:t xml:space="preserve"> </w:t>
      </w:r>
      <w:r>
        <w:rPr>
          <w:i/>
          <w:iCs/>
        </w:rPr>
        <w:t xml:space="preserve">explain</w:t>
      </w:r>
      <w:r>
        <w:t xml:space="preserve">. Clusters that are both large enough to be a real population and predominantly</w:t>
      </w:r>
      <w:r>
        <w:t xml:space="preserve"> </w:t>
      </w:r>
      <w:r>
        <w:t xml:space="preserve">low-confidence are flagged, with marker genes reported for each. This is distinct from</w:t>
      </w:r>
      <w:r>
        <w:t xml:space="preserve"> </w:t>
      </w:r>
      <w:r>
        <w:t xml:space="preserve">per-cell abstention.</w:t>
      </w:r>
    </w:p>
    <w:p>
      <w:pPr>
        <w:pStyle w:val="FirstParagraph"/>
      </w:pPr>
      <w:r>
        <w:rPr>
          <w:b/>
          <w:bCs/>
        </w:rPr>
        <w:t xml:space="preserve">Within-type state.</w:t>
      </w:r>
      <w:r>
        <w:t xml:space="preserve"> </w:t>
      </w:r>
      <w:r>
        <w:t xml:space="preserve">The same machinery resolves structure below a cell-type label: a</w:t>
      </w:r>
      <w:r>
        <w:t xml:space="preserve"> </w:t>
      </w:r>
      <w:r>
        <w:t xml:space="preserve">hepatocyte zonation model trained on portal→central zone labels, scored by within-one-zone</w:t>
      </w:r>
      <w:r>
        <w:t xml:space="preserve"> </w:t>
      </w:r>
      <w:r>
        <w:t xml:space="preserve">agreement across donors and datasets (S7).</w:t>
      </w:r>
    </w:p>
    <w:bookmarkEnd w:id="39"/>
    <w:bookmarkStart w:id="40" w:name="scaling-protocol"/>
    <w:p>
      <w:pPr>
        <w:pStyle w:val="Heading2"/>
      </w:pPr>
      <w:r>
        <w:t xml:space="preserve">Scaling protocol</w:t>
      </w:r>
    </w:p>
    <w:p>
      <w:pPr>
        <w:pStyle w:val="FirstParagraph"/>
      </w:pPr>
      <w:r>
        <w:t xml:space="preserve">The reference is subsampled to five sizes up to</w:t>
      </w:r>
      <w:r>
        <w:t xml:space="preserve"> </w:t>
      </w:r>
      <w:r>
        <w:rPr>
          <w:b/>
          <w:bCs/>
        </w:rPr>
        <w:t xml:space="preserve">49k cells</w:t>
      </w:r>
      <w:r>
        <w:t xml:space="preserve"> </w:t>
      </w:r>
      <w:r>
        <w:t xml:space="preserve">with the query held fixed, so</w:t>
      </w:r>
      <w:r>
        <w:t xml:space="preserve"> </w:t>
      </w:r>
      <w:r>
        <w:t xml:space="preserve">that accuracy, fit time, predict time and peak memory are functions of reference size alone.</w:t>
      </w:r>
      <w:r>
        <w:t xml:space="preserve"> </w:t>
      </w:r>
      <w:r>
        <w:t xml:space="preserve">Reported per method. The sweep exists to find where one method overtakes another as the</w:t>
      </w:r>
      <w:r>
        <w:t xml:space="preserve"> </w:t>
      </w:r>
      <w:r>
        <w:t xml:space="preserve">reference grows, which no single reference size can show</w:t>
      </w:r>
      <w:r>
        <w:t xml:space="preserve"> </w:t>
      </w:r>
      <w:r>
        <w:t xml:space="preserve">(S3).</w:t>
      </w:r>
    </w:p>
    <w:bookmarkEnd w:id="40"/>
    <w:bookmarkStart w:id="42" w:name="external-validation-protocol"/>
    <w:p>
      <w:pPr>
        <w:pStyle w:val="Heading2"/>
      </w:pPr>
      <w:r>
        <w:t xml:space="preserve">External validation protocol</w:t>
      </w:r>
    </w:p>
    <w:p>
      <w:pPr>
        <w:pStyle w:val="FirstParagraph"/>
      </w:pPr>
      <w:r>
        <w:rPr>
          <w:b/>
          <w:bCs/>
        </w:rPr>
        <w:t xml:space="preserve">Open Problems</w:t>
      </w:r>
      <w:r>
        <w:rPr>
          <w:b/>
          <w:bCs/>
        </w:rPr>
        <w:t xml:space="preserve"> </w:t>
      </w:r>
      <w:r>
        <w:rPr>
          <w:rStyle w:val="VerbatimChar"/>
          <w:b/>
          <w:bCs/>
        </w:rPr>
        <w:t xml:space="preserve">label_projection</w:t>
      </w:r>
      <w:r>
        <w:t xml:space="preserve"> </w:t>
      </w:r>
      <w:hyperlink r:id="rId41">
        <w:r>
          <w:rPr>
            <w:rStyle w:val="Hyperlink"/>
          </w:rPr>
          <w:t xml:space="preserve">[Open Problems 2024]</w:t>
        </w:r>
      </w:hyperlink>
      <w:r>
        <w:t xml:space="preserve"> </w:t>
      </w:r>
      <w:r>
        <w:t xml:space="preserve">(S8) supplies the</w:t>
      </w:r>
      <w:r>
        <w:t xml:space="preserve"> </w:t>
      </w:r>
      <w:r>
        <w:t xml:space="preserve">datasets, metrics and ranking — none chosen by us. actinn-jax is packaged as a viash 0.9.7</w:t>
      </w:r>
      <w:r>
        <w:t xml:space="preserve"> </w:t>
      </w:r>
      <w:r>
        <w:t xml:space="preserve">component declaring the normalization it expects, and run through the project’s own Nextflow</w:t>
      </w:r>
      <w:r>
        <w:t xml:space="preserve"> </w:t>
      </w:r>
      <w:r>
        <w:t xml:space="preserve">workflow. We additionally built components for four</w:t>
      </w:r>
      <w:r>
        <w:t xml:space="preserve"> </w:t>
      </w:r>
      <w:r>
        <w:t xml:space="preserve">baselines (linear-anova-pca, scTOP, SVM, CellTypist) so the same-hardware comparison covers</w:t>
      </w:r>
      <w:r>
        <w:t xml:space="preserve"> </w:t>
      </w:r>
      <w:r>
        <w:t xml:space="preserve">more than the leaderboard’s own set.</w:t>
      </w:r>
    </w:p>
    <w:p>
      <w:pPr>
        <w:pStyle w:val="BodyText"/>
      </w:pPr>
      <w:r>
        <w:rPr>
          <w:b/>
          <w:bCs/>
        </w:rPr>
        <w:t xml:space="preserve">Where each number is measured.</w:t>
      </w:r>
      <w:r>
        <w:t xml:space="preserve"> </w:t>
      </w:r>
      <w:r>
        <w:t xml:space="preserve">The paper reports two environments. The in-house panel</w:t>
      </w:r>
      <w:r>
        <w:t xml:space="preserve"> </w:t>
      </w:r>
      <w:r>
        <w:t xml:space="preserve">(§3.1–§3.5) runs on the Apple Silicon laptop described in §2.5. The Open Problems results</w:t>
      </w:r>
      <w:r>
        <w:t xml:space="preserve"> </w:t>
      </w:r>
      <w:r>
        <w:t xml:space="preserve">(§3.7) run on AWS</w:t>
      </w:r>
      <w:r>
        <w:t xml:space="preserve"> </w:t>
      </w:r>
      <w:r>
        <w:rPr>
          <w:rStyle w:val="VerbatimChar"/>
        </w:rPr>
        <w:t xml:space="preserve">r7i.8xlarge</w:t>
      </w:r>
      <w:r>
        <w:t xml:space="preserve"> </w:t>
      </w:r>
      <w:r>
        <w:t xml:space="preserve">instances (32 vCPU, 247 GB) through OP’s own Nextflow</w:t>
      </w:r>
      <w:r>
        <w:t xml:space="preserve"> </w:t>
      </w:r>
      <w:r>
        <w:t xml:space="preserve">pipeline, two tasks at a time.</w:t>
      </w:r>
    </w:p>
    <w:p>
      <w:pPr>
        <w:pStyle w:val="BodyText"/>
      </w:pPr>
      <w:r>
        <w:rPr>
          <w:b/>
          <w:bCs/>
        </w:rPr>
        <w:t xml:space="preserve">Accuracy</w:t>
      </w:r>
      <w:r>
        <w:t xml:space="preserve"> </w:t>
      </w:r>
      <w:r>
        <w:t xml:space="preserve">in Table 10 comes from a single AWS run covering all eleven methods, so every</w:t>
      </w:r>
      <w:r>
        <w:t xml:space="preserve"> </w:t>
      </w:r>
      <w:r>
        <w:t xml:space="preserve">score is one harness, one machine, one invocation.</w:t>
      </w:r>
    </w:p>
    <w:p>
      <w:pPr>
        <w:pStyle w:val="BodyText"/>
      </w:pPr>
      <w:r>
        <w:rPr>
          <w:b/>
          <w:bCs/>
        </w:rPr>
        <w:t xml:space="preserve">Cost</w:t>
      </w:r>
      <w:r>
        <w:t xml:space="preserve"> </w:t>
      </w:r>
      <w:r>
        <w:t xml:space="preserve">is reported as a ratio to actinn-jax rather than in seconds, because wall-clock on a</w:t>
      </w:r>
      <w:r>
        <w:t xml:space="preserve"> </w:t>
      </w:r>
      <w:r>
        <w:t xml:space="preserve">shared box depends on what else is running: measured</w:t>
      </w:r>
      <w:r>
        <w:t xml:space="preserve"> </w:t>
      </w:r>
      <w:r>
        <w:rPr>
          <w:rStyle w:val="VerbatimChar"/>
        </w:rPr>
        <w:t xml:space="preserve">%cpu</w:t>
      </w:r>
      <w:r>
        <w:t xml:space="preserve"> </w:t>
      </w:r>
      <w:r>
        <w:t xml:space="preserve">spans 49% to 2338% across these</w:t>
      </w:r>
      <w:r>
        <w:t xml:space="preserve"> </w:t>
      </w:r>
      <w:r>
        <w:t xml:space="preserve">methods, and actinn-jax itself averaged 165 s/dataset when scheduled alongside OP’s seven and</w:t>
      </w:r>
      <w:r>
        <w:t xml:space="preserve"> </w:t>
      </w:r>
      <w:r>
        <w:t xml:space="preserve">87 s/dataset alongside our four. Ratios taken within one run are stable where absolute times</w:t>
      </w:r>
      <w:r>
        <w:t xml:space="preserve"> </w:t>
      </w:r>
      <w:r>
        <w:t xml:space="preserve">are not, and actinn-jax was included in both runs to join them. Peak memory does not move</w:t>
      </w:r>
      <w:r>
        <w:t xml:space="preserve"> </w:t>
      </w:r>
      <w:r>
        <w:t xml:space="preserve">with contention and is reported as measured.</w:t>
      </w:r>
    </w:p>
    <w:bookmarkEnd w:id="42"/>
    <w:bookmarkStart w:id="45" w:name="ablations"/>
    <w:p>
      <w:pPr>
        <w:pStyle w:val="Heading2"/>
      </w:pPr>
      <w:r>
        <w:t xml:space="preserve">Ablations</w:t>
      </w:r>
    </w:p>
    <w:p>
      <w:pPr>
        <w:pStyle w:val="FirstParagraph"/>
      </w:pPr>
      <w:r>
        <w:t xml:space="preserve">Three cheap interventions characterize</w:t>
      </w:r>
      <w:r>
        <w:t xml:space="preserve"> </w:t>
      </w:r>
      <w:r>
        <w:rPr>
          <w:i/>
          <w:iCs/>
        </w:rPr>
        <w:t xml:space="preserve">when</w:t>
      </w:r>
      <w:r>
        <w:t xml:space="preserve"> </w:t>
      </w:r>
      <w:r>
        <w:t xml:space="preserve">a gene-space MLP gains or loses against heavier</w:t>
      </w:r>
      <w:r>
        <w:t xml:space="preserve"> </w:t>
      </w:r>
      <w:r>
        <w:t xml:space="preserve">methods, all selectable without test labels:</w:t>
      </w:r>
    </w:p>
    <w:p>
      <w:pPr>
        <w:pStyle w:val="Compact"/>
        <w:numPr>
          <w:ilvl w:val="0"/>
          <w:numId w:val="1006"/>
        </w:numPr>
      </w:pPr>
      <w:r>
        <w:rPr>
          <w:b/>
          <w:bCs/>
        </w:rPr>
        <w:t xml:space="preserve">Input standardization</w:t>
      </w:r>
      <w:r>
        <w:t xml:space="preserve"> </w:t>
      </w:r>
      <w:r>
        <w:t xml:space="preserve">— z-score each selected gene by the reference’s frozen mean/std</w:t>
      </w:r>
      <w:r>
        <w:t xml:space="preserve"> </w:t>
      </w:r>
      <w:r>
        <w:t xml:space="preserve">and apply to the query (a scArches-style domain alignment). Opt-in, because it shifts the</w:t>
      </w:r>
      <w:r>
        <w:t xml:space="preserve"> </w:t>
      </w:r>
      <w:r>
        <w:t xml:space="preserve">probability calibration the abstain thresholds are tuned against.</w:t>
      </w:r>
    </w:p>
    <w:p>
      <w:pPr>
        <w:pStyle w:val="Compact"/>
        <w:numPr>
          <w:ilvl w:val="0"/>
          <w:numId w:val="1006"/>
        </w:numPr>
      </w:pPr>
      <w:r>
        <w:rPr>
          <w:b/>
          <w:bCs/>
        </w:rPr>
        <w:t xml:space="preserve">Gene budget</w:t>
      </w:r>
      <w:r>
        <w:t xml:space="preserve"> </w:t>
      </w:r>
      <w:r>
        <w:t xml:space="preserve">— Open Problems feeds every method 1,000 HVGs; we sweep wider panels and</w:t>
      </w:r>
      <w:r>
        <w:t xml:space="preserve"> </w:t>
      </w:r>
      <w:r>
        <w:t xml:space="preserve">select per dataset by</w:t>
      </w:r>
      <w:r>
        <w:t xml:space="preserve"> </w:t>
      </w:r>
      <w:r>
        <w:rPr>
          <w:b/>
          <w:bCs/>
        </w:rPr>
        <w:t xml:space="preserve">held-out reference cross-validation</w:t>
      </w:r>
      <w:r>
        <w:t xml:space="preserve">, which is label-free with</w:t>
      </w:r>
      <w:r>
        <w:t xml:space="preserve"> </w:t>
      </w:r>
      <w:r>
        <w:t xml:space="preserve">respect to the test set.</w:t>
      </w:r>
    </w:p>
    <w:p>
      <w:pPr>
        <w:pStyle w:val="Compact"/>
        <w:numPr>
          <w:ilvl w:val="0"/>
          <w:numId w:val="1006"/>
        </w:numPr>
      </w:pPr>
      <w:r>
        <w:rPr>
          <w:b/>
          <w:bCs/>
        </w:rPr>
        <w:t xml:space="preserve">Protein-embedding featurization</w:t>
      </w:r>
      <w:r>
        <w:t xml:space="preserve"> </w:t>
      </w:r>
      <w:r>
        <w:t xml:space="preserve">(negative control) — a CPU-only featurization in the style of</w:t>
      </w:r>
      <w:r>
        <w:t xml:space="preserve"> </w:t>
      </w:r>
      <w:r>
        <w:rPr>
          <w:b/>
          <w:bCs/>
        </w:rPr>
        <w:t xml:space="preserve">Universal Cell Embeddings (UCE)</w:t>
      </w:r>
      <w:r>
        <w:t xml:space="preserve"> </w:t>
      </w:r>
      <w:hyperlink r:id="rId43">
        <w:r>
          <w:rPr>
            <w:rStyle w:val="Hyperlink"/>
          </w:rPr>
          <w:t xml:space="preserve">[Rosen 2026]</w:t>
        </w:r>
      </w:hyperlink>
      <w:r>
        <w:t xml:space="preserve"> </w:t>
      </w:r>
      <w:r>
        <w:t xml:space="preserve">— an</w:t>
      </w:r>
      <w:r>
        <w:t xml:space="preserve"> </w:t>
      </w:r>
      <w:r>
        <w:t xml:space="preserve">expression-weighted mean of ESM2</w:t>
      </w:r>
      <w:r>
        <w:t xml:space="preserve"> </w:t>
      </w:r>
      <w:hyperlink r:id="rId44">
        <w:r>
          <w:rPr>
            <w:rStyle w:val="Hyperlink"/>
          </w:rPr>
          <w:t xml:space="preserve">[Lin 2023]</w:t>
        </w:r>
      </w:hyperlink>
      <w:r>
        <w:t xml:space="preserve"> </w:t>
      </w:r>
      <w:r>
        <w:t xml:space="preserve">protein-language-model gene embeddings — to test whether a foundation model’s value</w:t>
      </w:r>
      <w:r>
        <w:t xml:space="preserve"> </w:t>
      </w:r>
      <w:r>
        <w:t xml:space="preserve">survives a cheap pooling shortcut.</w:t>
      </w:r>
    </w:p>
    <w:bookmarkEnd w:id="45"/>
    <w:bookmarkEnd w:id="46"/>
    <w:bookmarkStart w:id="71" w:name="results"/>
    <w:p>
      <w:pPr>
        <w:pStyle w:val="Heading1"/>
      </w:pPr>
      <w:r>
        <w:t xml:space="preserve">Results</w:t>
      </w:r>
    </w:p>
    <w:bookmarkStart w:id="47" w:name="accuracy-and-cost"/>
    <w:p>
      <w:pPr>
        <w:pStyle w:val="Heading2"/>
      </w:pPr>
      <w:r>
        <w:t xml:space="preserve">Accuracy and cost</w:t>
      </w:r>
    </w:p>
    <w:p>
      <w:pPr>
        <w:pStyle w:val="FirstParagraph"/>
      </w:pPr>
      <w:r>
        <w:t xml:space="preserve">Accuracy is the mean over the</w:t>
      </w:r>
      <w:r>
        <w:t xml:space="preserve"> </w:t>
      </w:r>
      <w:r>
        <w:rPr>
          <w:b/>
          <w:bCs/>
        </w:rPr>
        <w:t xml:space="preserve">five shared-vocabulary datasets</w:t>
      </w:r>
      <w:r>
        <w:t xml:space="preserve"> </w:t>
      </w:r>
      <w:r>
        <w:t xml:space="preserve">(lung_cross</w:t>
      </w:r>
      <w:r>
        <w:t xml:space="preserve"> </w:t>
      </w:r>
      <w:r>
        <w:t xml:space="preserve">excluded — its exact accuracy is a vocabulary artifact, see the † note below; means over all</w:t>
      </w:r>
      <w:r>
        <w:t xml:space="preserve"> </w:t>
      </w:r>
      <w:r>
        <w:t xml:space="preserve">six are ~0.08 lower for every method, with the identical ranking); macro-F1 and ontology are</w:t>
      </w:r>
      <w:r>
        <w:t xml:space="preserve"> </w:t>
      </w:r>
      <w:r>
        <w:t xml:space="preserve">means over all six; cost is the mean per query (Table 3):</w:t>
      </w:r>
    </w:p>
    <w:tbl>
      <w:tblPr>
        <w:tblStyle w:val="Table"/>
        <w:tblW w:type="pct" w:w="5000"/>
        <w:tblLayout w:type="fixed"/>
        <w:tblLook w:firstRow="1" w:lastRow="0" w:firstColumn="0" w:lastColumn="0" w:noHBand="0" w:noVBand="0" w:val="0020"/>
      </w:tblPr>
      <w:tblGrid>
        <w:gridCol w:w="1980"/>
        <w:gridCol w:w="990"/>
        <w:gridCol w:w="990"/>
        <w:gridCol w:w="990"/>
        <w:gridCol w:w="990"/>
        <w:gridCol w:w="990"/>
        <w:gridCol w:w="990"/>
      </w:tblGrid>
      <w:tr>
        <w:trPr>
          <w:tblHeader w:val="on"/>
        </w:trPr>
        <w:tc>
          <w:tcPr/>
          <w:p>
            <w:pPr>
              <w:pStyle w:val="Compact"/>
            </w:pPr>
            <w:r>
              <w:t xml:space="preserve">method</w:t>
            </w:r>
          </w:p>
        </w:tc>
        <w:tc>
          <w:tcPr/>
          <w:p>
            <w:pPr>
              <w:pStyle w:val="Compact"/>
              <w:jc w:val="right"/>
            </w:pPr>
            <w:r>
              <w:t xml:space="preserve">acc (5)</w:t>
            </w:r>
          </w:p>
        </w:tc>
        <w:tc>
          <w:tcPr/>
          <w:p>
            <w:pPr>
              <w:pStyle w:val="Compact"/>
              <w:jc w:val="right"/>
            </w:pPr>
            <w:r>
              <w:t xml:space="preserve">macro-F1 (6)</w:t>
            </w:r>
          </w:p>
        </w:tc>
        <w:tc>
          <w:tcPr/>
          <w:p>
            <w:pPr>
              <w:pStyle w:val="Compact"/>
              <w:jc w:val="right"/>
            </w:pPr>
            <w:r>
              <w:t xml:space="preserve">ontology (6)</w:t>
            </w:r>
          </w:p>
        </w:tc>
        <w:tc>
          <w:tcPr/>
          <w:p>
            <w:pPr>
              <w:pStyle w:val="Compact"/>
              <w:jc w:val="right"/>
            </w:pPr>
            <w:r>
              <w:t xml:space="preserve">fit (s)</w:t>
            </w:r>
          </w:p>
        </w:tc>
        <w:tc>
          <w:tcPr/>
          <w:p>
            <w:pPr>
              <w:pStyle w:val="Compact"/>
              <w:jc w:val="right"/>
            </w:pPr>
            <w:r>
              <w:rPr>
                <w:b/>
                <w:bCs/>
              </w:rPr>
              <w:t xml:space="preserve">predict (s)</w:t>
            </w:r>
          </w:p>
        </w:tc>
        <w:tc>
          <w:tcPr/>
          <w:p>
            <w:pPr>
              <w:pStyle w:val="Compact"/>
              <w:jc w:val="right"/>
            </w:pPr>
            <w:r>
              <w:t xml:space="preserve">peak MB</w:t>
            </w:r>
          </w:p>
        </w:tc>
      </w:tr>
      <w:tr>
        <w:tc>
          <w:tcPr/>
          <w:p>
            <w:pPr>
              <w:pStyle w:val="Compact"/>
            </w:pPr>
            <w:r>
              <w:rPr>
                <w:b/>
                <w:bCs/>
              </w:rPr>
              <w:t xml:space="preserve">linear-anova-pca</w:t>
            </w:r>
          </w:p>
        </w:tc>
        <w:tc>
          <w:tcPr/>
          <w:p>
            <w:pPr>
              <w:pStyle w:val="Compact"/>
              <w:jc w:val="right"/>
            </w:pPr>
            <w:r>
              <w:rPr>
                <w:b/>
                <w:bCs/>
              </w:rPr>
              <w:t xml:space="preserve">0.839</w:t>
            </w:r>
          </w:p>
        </w:tc>
        <w:tc>
          <w:tcPr/>
          <w:p>
            <w:pPr>
              <w:pStyle w:val="Compact"/>
              <w:jc w:val="right"/>
            </w:pPr>
            <w:r>
              <w:t xml:space="preserve">0.699</w:t>
            </w:r>
          </w:p>
        </w:tc>
        <w:tc>
          <w:tcPr/>
          <w:p>
            <w:pPr>
              <w:pStyle w:val="Compact"/>
              <w:jc w:val="right"/>
            </w:pPr>
            <w:r>
              <w:t xml:space="preserve">0.808</w:t>
            </w:r>
          </w:p>
        </w:tc>
        <w:tc>
          <w:tcPr/>
          <w:p>
            <w:pPr>
              <w:pStyle w:val="Compact"/>
              <w:jc w:val="right"/>
            </w:pPr>
            <w:r>
              <w:rPr>
                <w:b/>
                <w:bCs/>
              </w:rPr>
              <w:t xml:space="preserve">3.0</w:t>
            </w:r>
          </w:p>
        </w:tc>
        <w:tc>
          <w:tcPr/>
          <w:p>
            <w:pPr>
              <w:pStyle w:val="Compact"/>
              <w:jc w:val="right"/>
            </w:pPr>
            <w:r>
              <w:rPr>
                <w:b/>
                <w:bCs/>
              </w:rPr>
              <w:t xml:space="preserve">0.34</w:t>
            </w:r>
          </w:p>
        </w:tc>
        <w:tc>
          <w:tcPr/>
          <w:p>
            <w:pPr>
              <w:pStyle w:val="Compact"/>
              <w:jc w:val="right"/>
            </w:pPr>
            <w:r>
              <w:t xml:space="preserve">4294</w:t>
            </w:r>
          </w:p>
        </w:tc>
      </w:tr>
      <w:tr>
        <w:tc>
          <w:tcPr/>
          <w:p>
            <w:pPr>
              <w:pStyle w:val="Compact"/>
            </w:pPr>
            <w:r>
              <w:t xml:space="preserve">scANVI</w:t>
            </w:r>
          </w:p>
        </w:tc>
        <w:tc>
          <w:tcPr/>
          <w:p>
            <w:pPr>
              <w:pStyle w:val="Compact"/>
              <w:jc w:val="right"/>
            </w:pPr>
            <w:r>
              <w:t xml:space="preserve">0.833</w:t>
            </w:r>
          </w:p>
        </w:tc>
        <w:tc>
          <w:tcPr/>
          <w:p>
            <w:pPr>
              <w:pStyle w:val="Compact"/>
              <w:jc w:val="right"/>
            </w:pPr>
            <w:r>
              <w:t xml:space="preserve">0.697</w:t>
            </w:r>
          </w:p>
        </w:tc>
        <w:tc>
          <w:tcPr/>
          <w:p>
            <w:pPr>
              <w:pStyle w:val="Compact"/>
              <w:jc w:val="right"/>
            </w:pPr>
            <w:r>
              <w:t xml:space="preserve">0.809</w:t>
            </w:r>
          </w:p>
        </w:tc>
        <w:tc>
          <w:tcPr/>
          <w:p>
            <w:pPr>
              <w:pStyle w:val="Compact"/>
              <w:jc w:val="right"/>
            </w:pPr>
            <w:r>
              <w:t xml:space="preserve">0.0*</w:t>
            </w:r>
          </w:p>
        </w:tc>
        <w:tc>
          <w:tcPr/>
          <w:p>
            <w:pPr>
              <w:pStyle w:val="Compact"/>
              <w:jc w:val="right"/>
            </w:pPr>
            <w:r>
              <w:t xml:space="preserve">89.2</w:t>
            </w:r>
          </w:p>
        </w:tc>
        <w:tc>
          <w:tcPr/>
          <w:p>
            <w:pPr>
              <w:pStyle w:val="Compact"/>
              <w:jc w:val="right"/>
            </w:pPr>
            <w:r>
              <w:t xml:space="preserve">2099</w:t>
            </w:r>
          </w:p>
        </w:tc>
      </w:tr>
      <w:tr>
        <w:tc>
          <w:tcPr/>
          <w:p>
            <w:pPr>
              <w:pStyle w:val="Compact"/>
            </w:pPr>
            <w:r>
              <w:t xml:space="preserve">scArches</w:t>
            </w:r>
          </w:p>
        </w:tc>
        <w:tc>
          <w:tcPr/>
          <w:p>
            <w:pPr>
              <w:pStyle w:val="Compact"/>
              <w:jc w:val="right"/>
            </w:pPr>
            <w:r>
              <w:t xml:space="preserve">0.832</w:t>
            </w:r>
          </w:p>
        </w:tc>
        <w:tc>
          <w:tcPr/>
          <w:p>
            <w:pPr>
              <w:pStyle w:val="Compact"/>
              <w:jc w:val="right"/>
            </w:pPr>
            <w:r>
              <w:rPr>
                <w:b/>
                <w:bCs/>
              </w:rPr>
              <w:t xml:space="preserve">0.699</w:t>
            </w:r>
          </w:p>
        </w:tc>
        <w:tc>
          <w:tcPr/>
          <w:p>
            <w:pPr>
              <w:pStyle w:val="Compact"/>
              <w:jc w:val="right"/>
            </w:pPr>
            <w:r>
              <w:t xml:space="preserve">0.805</w:t>
            </w:r>
          </w:p>
        </w:tc>
        <w:tc>
          <w:tcPr/>
          <w:p>
            <w:pPr>
              <w:pStyle w:val="Compact"/>
              <w:jc w:val="right"/>
            </w:pPr>
            <w:r>
              <w:t xml:space="preserve">54.7</w:t>
            </w:r>
          </w:p>
        </w:tc>
        <w:tc>
          <w:tcPr/>
          <w:p>
            <w:pPr>
              <w:pStyle w:val="Compact"/>
              <w:jc w:val="right"/>
            </w:pPr>
            <w:r>
              <w:t xml:space="preserve">21.4</w:t>
            </w:r>
          </w:p>
        </w:tc>
        <w:tc>
          <w:tcPr/>
          <w:p>
            <w:pPr>
              <w:pStyle w:val="Compact"/>
              <w:jc w:val="right"/>
            </w:pPr>
            <w:r>
              <w:t xml:space="preserve">1819</w:t>
            </w:r>
          </w:p>
        </w:tc>
      </w:tr>
      <w:tr>
        <w:tc>
          <w:tcPr/>
          <w:p>
            <w:pPr>
              <w:pStyle w:val="Compact"/>
            </w:pPr>
            <w:r>
              <w:rPr>
                <w:b/>
                <w:bCs/>
              </w:rPr>
              <w:t xml:space="preserve">actinn-jax</w:t>
            </w:r>
          </w:p>
        </w:tc>
        <w:tc>
          <w:tcPr/>
          <w:p>
            <w:pPr>
              <w:pStyle w:val="Compact"/>
              <w:jc w:val="right"/>
            </w:pPr>
            <w:r>
              <w:t xml:space="preserve">0.831</w:t>
            </w:r>
          </w:p>
        </w:tc>
        <w:tc>
          <w:tcPr/>
          <w:p>
            <w:pPr>
              <w:pStyle w:val="Compact"/>
              <w:jc w:val="right"/>
            </w:pPr>
            <w:r>
              <w:t xml:space="preserve">0.683</w:t>
            </w:r>
          </w:p>
        </w:tc>
        <w:tc>
          <w:tcPr/>
          <w:p>
            <w:pPr>
              <w:pStyle w:val="Compact"/>
              <w:jc w:val="right"/>
            </w:pPr>
            <w:r>
              <w:rPr>
                <w:b/>
                <w:bCs/>
              </w:rPr>
              <w:t xml:space="preserve">0.811</w:t>
            </w:r>
          </w:p>
        </w:tc>
        <w:tc>
          <w:tcPr/>
          <w:p>
            <w:pPr>
              <w:pStyle w:val="Compact"/>
              <w:jc w:val="right"/>
            </w:pPr>
            <w:r>
              <w:t xml:space="preserve">21.9</w:t>
            </w:r>
          </w:p>
        </w:tc>
        <w:tc>
          <w:tcPr/>
          <w:p>
            <w:pPr>
              <w:pStyle w:val="Compact"/>
              <w:jc w:val="right"/>
            </w:pPr>
            <w:r>
              <w:rPr>
                <w:b/>
                <w:bCs/>
              </w:rPr>
              <w:t xml:space="preserve">0.67</w:t>
            </w:r>
          </w:p>
        </w:tc>
        <w:tc>
          <w:tcPr/>
          <w:p>
            <w:pPr>
              <w:pStyle w:val="Compact"/>
              <w:jc w:val="right"/>
            </w:pPr>
            <w:r>
              <w:t xml:space="preserve">2399</w:t>
            </w:r>
          </w:p>
        </w:tc>
      </w:tr>
      <w:tr>
        <w:tc>
          <w:tcPr/>
          <w:p>
            <w:pPr>
              <w:pStyle w:val="Compact"/>
            </w:pPr>
            <w:r>
              <w:t xml:space="preserve">CellTypist</w:t>
            </w:r>
          </w:p>
        </w:tc>
        <w:tc>
          <w:tcPr/>
          <w:p>
            <w:pPr>
              <w:pStyle w:val="Compact"/>
              <w:jc w:val="right"/>
            </w:pPr>
            <w:r>
              <w:t xml:space="preserve">0.823</w:t>
            </w:r>
          </w:p>
        </w:tc>
        <w:tc>
          <w:tcPr/>
          <w:p>
            <w:pPr>
              <w:pStyle w:val="Compact"/>
              <w:jc w:val="right"/>
            </w:pPr>
            <w:r>
              <w:t xml:space="preserve">0.691</w:t>
            </w:r>
          </w:p>
        </w:tc>
        <w:tc>
          <w:tcPr/>
          <w:p>
            <w:pPr>
              <w:pStyle w:val="Compact"/>
              <w:jc w:val="right"/>
            </w:pPr>
            <w:r>
              <w:t xml:space="preserve">0.805</w:t>
            </w:r>
          </w:p>
        </w:tc>
        <w:tc>
          <w:tcPr/>
          <w:p>
            <w:pPr>
              <w:pStyle w:val="Compact"/>
              <w:jc w:val="right"/>
            </w:pPr>
            <w:r>
              <w:t xml:space="preserve">60.7</w:t>
            </w:r>
          </w:p>
        </w:tc>
        <w:tc>
          <w:tcPr/>
          <w:p>
            <w:pPr>
              <w:pStyle w:val="Compact"/>
              <w:jc w:val="right"/>
            </w:pPr>
            <w:r>
              <w:rPr>
                <w:b/>
                <w:bCs/>
              </w:rPr>
              <w:t xml:space="preserve">0.66</w:t>
            </w:r>
          </w:p>
        </w:tc>
        <w:tc>
          <w:tcPr/>
          <w:p>
            <w:pPr>
              <w:pStyle w:val="Compact"/>
              <w:jc w:val="right"/>
            </w:pPr>
            <w:r>
              <w:t xml:space="preserve">1569</w:t>
            </w:r>
          </w:p>
        </w:tc>
      </w:tr>
      <w:tr>
        <w:tc>
          <w:tcPr/>
          <w:p>
            <w:pPr>
              <w:pStyle w:val="Compact"/>
            </w:pPr>
            <w:r>
              <w:t xml:space="preserve">SVM</w:t>
            </w:r>
          </w:p>
        </w:tc>
        <w:tc>
          <w:tcPr/>
          <w:p>
            <w:pPr>
              <w:pStyle w:val="Compact"/>
              <w:jc w:val="right"/>
            </w:pPr>
            <w:r>
              <w:t xml:space="preserve">0.810</w:t>
            </w:r>
          </w:p>
        </w:tc>
        <w:tc>
          <w:tcPr/>
          <w:p>
            <w:pPr>
              <w:pStyle w:val="Compact"/>
              <w:jc w:val="right"/>
            </w:pPr>
            <w:r>
              <w:t xml:space="preserve">0.680</w:t>
            </w:r>
          </w:p>
        </w:tc>
        <w:tc>
          <w:tcPr/>
          <w:p>
            <w:pPr>
              <w:pStyle w:val="Compact"/>
              <w:jc w:val="right"/>
            </w:pPr>
            <w:r>
              <w:t xml:space="preserve">0.797</w:t>
            </w:r>
          </w:p>
        </w:tc>
        <w:tc>
          <w:tcPr/>
          <w:p>
            <w:pPr>
              <w:pStyle w:val="Compact"/>
              <w:jc w:val="right"/>
            </w:pPr>
            <w:r>
              <w:t xml:space="preserve">66.5</w:t>
            </w:r>
          </w:p>
        </w:tc>
        <w:tc>
          <w:tcPr/>
          <w:p>
            <w:pPr>
              <w:pStyle w:val="Compact"/>
              <w:jc w:val="right"/>
            </w:pPr>
            <w:r>
              <w:rPr>
                <w:b/>
                <w:bCs/>
              </w:rPr>
              <w:t xml:space="preserve">0.07</w:t>
            </w:r>
          </w:p>
        </w:tc>
        <w:tc>
          <w:tcPr/>
          <w:p>
            <w:pPr>
              <w:pStyle w:val="Compact"/>
              <w:jc w:val="right"/>
            </w:pPr>
            <w:r>
              <w:t xml:space="preserve">1415</w:t>
            </w:r>
          </w:p>
        </w:tc>
      </w:tr>
      <w:tr>
        <w:tc>
          <w:tcPr/>
          <w:p>
            <w:pPr>
              <w:pStyle w:val="Compact"/>
            </w:pPr>
            <w:r>
              <w:t xml:space="preserve">ProtoCloud</w:t>
            </w:r>
          </w:p>
        </w:tc>
        <w:tc>
          <w:tcPr/>
          <w:p>
            <w:pPr>
              <w:pStyle w:val="Compact"/>
              <w:jc w:val="right"/>
            </w:pPr>
            <w:r>
              <w:t xml:space="preserve">0.790</w:t>
            </w:r>
          </w:p>
        </w:tc>
        <w:tc>
          <w:tcPr/>
          <w:p>
            <w:pPr>
              <w:pStyle w:val="Compact"/>
              <w:jc w:val="right"/>
            </w:pPr>
            <w:r>
              <w:t xml:space="preserve">0.649</w:t>
            </w:r>
          </w:p>
        </w:tc>
        <w:tc>
          <w:tcPr/>
          <w:p>
            <w:pPr>
              <w:pStyle w:val="Compact"/>
              <w:jc w:val="right"/>
            </w:pPr>
            <w:r>
              <w:t xml:space="preserve">0.778</w:t>
            </w:r>
          </w:p>
        </w:tc>
        <w:tc>
          <w:tcPr/>
          <w:p>
            <w:pPr>
              <w:pStyle w:val="Compact"/>
              <w:jc w:val="right"/>
            </w:pPr>
            <w:r>
              <w:t xml:space="preserve">176.3</w:t>
            </w:r>
          </w:p>
        </w:tc>
        <w:tc>
          <w:tcPr/>
          <w:p>
            <w:pPr>
              <w:pStyle w:val="Compact"/>
              <w:jc w:val="right"/>
            </w:pPr>
            <w:r>
              <w:t xml:space="preserve">2.14</w:t>
            </w:r>
          </w:p>
        </w:tc>
        <w:tc>
          <w:tcPr/>
          <w:p>
            <w:pPr>
              <w:pStyle w:val="Compact"/>
              <w:jc w:val="right"/>
            </w:pPr>
            <w:r>
              <w:t xml:space="preserve">1893</w:t>
            </w:r>
          </w:p>
        </w:tc>
      </w:tr>
      <w:tr>
        <w:tc>
          <w:tcPr/>
          <w:p>
            <w:pPr>
              <w:pStyle w:val="Compact"/>
            </w:pPr>
            <w:r>
              <w:t xml:space="preserve">SingleR</w:t>
            </w:r>
          </w:p>
        </w:tc>
        <w:tc>
          <w:tcPr/>
          <w:p>
            <w:pPr>
              <w:pStyle w:val="Compact"/>
              <w:jc w:val="right"/>
            </w:pPr>
            <w:r>
              <w:t xml:space="preserve">0.770</w:t>
            </w:r>
          </w:p>
        </w:tc>
        <w:tc>
          <w:tcPr/>
          <w:p>
            <w:pPr>
              <w:pStyle w:val="Compact"/>
              <w:jc w:val="right"/>
            </w:pPr>
            <w:r>
              <w:t xml:space="preserve">0.652</w:t>
            </w:r>
          </w:p>
        </w:tc>
        <w:tc>
          <w:tcPr/>
          <w:p>
            <w:pPr>
              <w:pStyle w:val="Compact"/>
              <w:jc w:val="right"/>
            </w:pPr>
            <w:r>
              <w:t xml:space="preserve">0.750</w:t>
            </w:r>
          </w:p>
        </w:tc>
        <w:tc>
          <w:tcPr/>
          <w:p>
            <w:pPr>
              <w:pStyle w:val="Compact"/>
              <w:jc w:val="right"/>
            </w:pPr>
            <w:r>
              <w:t xml:space="preserve">0.3</w:t>
            </w:r>
          </w:p>
        </w:tc>
        <w:tc>
          <w:tcPr/>
          <w:p>
            <w:pPr>
              <w:pStyle w:val="Compact"/>
              <w:jc w:val="right"/>
            </w:pPr>
            <w:r>
              <w:t xml:space="preserve">62.1</w:t>
            </w:r>
          </w:p>
        </w:tc>
        <w:tc>
          <w:tcPr/>
          <w:p>
            <w:pPr>
              <w:pStyle w:val="Compact"/>
              <w:jc w:val="right"/>
            </w:pPr>
            <w:r>
              <w:t xml:space="preserve">3541</w:t>
            </w:r>
          </w:p>
        </w:tc>
      </w:tr>
      <w:tr>
        <w:tc>
          <w:tcPr/>
          <w:p>
            <w:pPr>
              <w:pStyle w:val="Compact"/>
            </w:pPr>
            <w:r>
              <w:t xml:space="preserve">kNN</w:t>
            </w:r>
          </w:p>
        </w:tc>
        <w:tc>
          <w:tcPr/>
          <w:p>
            <w:pPr>
              <w:pStyle w:val="Compact"/>
              <w:jc w:val="right"/>
            </w:pPr>
            <w:r>
              <w:t xml:space="preserve">0.770</w:t>
            </w:r>
          </w:p>
        </w:tc>
        <w:tc>
          <w:tcPr/>
          <w:p>
            <w:pPr>
              <w:pStyle w:val="Compact"/>
              <w:jc w:val="right"/>
            </w:pPr>
            <w:r>
              <w:t xml:space="preserve">0.622</w:t>
            </w:r>
          </w:p>
        </w:tc>
        <w:tc>
          <w:tcPr/>
          <w:p>
            <w:pPr>
              <w:pStyle w:val="Compact"/>
              <w:jc w:val="right"/>
            </w:pPr>
            <w:r>
              <w:t xml:space="preserve">0.769</w:t>
            </w:r>
          </w:p>
        </w:tc>
        <w:tc>
          <w:tcPr/>
          <w:p>
            <w:pPr>
              <w:pStyle w:val="Compact"/>
              <w:jc w:val="right"/>
            </w:pPr>
            <w:r>
              <w:t xml:space="preserve">0.4</w:t>
            </w:r>
          </w:p>
        </w:tc>
        <w:tc>
          <w:tcPr/>
          <w:p>
            <w:pPr>
              <w:pStyle w:val="Compact"/>
              <w:jc w:val="right"/>
            </w:pPr>
            <w:r>
              <w:rPr>
                <w:b/>
                <w:bCs/>
              </w:rPr>
              <w:t xml:space="preserve">0.15</w:t>
            </w:r>
          </w:p>
        </w:tc>
        <w:tc>
          <w:tcPr/>
          <w:p>
            <w:pPr>
              <w:pStyle w:val="Compact"/>
              <w:jc w:val="right"/>
            </w:pPr>
            <w:r>
              <w:t xml:space="preserve">1483</w:t>
            </w:r>
          </w:p>
        </w:tc>
      </w:tr>
      <w:tr>
        <w:tc>
          <w:tcPr/>
          <w:p>
            <w:pPr>
              <w:pStyle w:val="Compact"/>
            </w:pPr>
            <w:r>
              <w:t xml:space="preserve">scTOP</w:t>
            </w:r>
          </w:p>
        </w:tc>
        <w:tc>
          <w:tcPr/>
          <w:p>
            <w:pPr>
              <w:pStyle w:val="Compact"/>
              <w:jc w:val="right"/>
            </w:pPr>
            <w:r>
              <w:t xml:space="preserve">0.739</w:t>
            </w:r>
          </w:p>
        </w:tc>
        <w:tc>
          <w:tcPr/>
          <w:p>
            <w:pPr>
              <w:pStyle w:val="Compact"/>
              <w:jc w:val="right"/>
            </w:pPr>
            <w:r>
              <w:t xml:space="preserve">0.619</w:t>
            </w:r>
          </w:p>
        </w:tc>
        <w:tc>
          <w:tcPr/>
          <w:p>
            <w:pPr>
              <w:pStyle w:val="Compact"/>
              <w:jc w:val="right"/>
            </w:pPr>
            <w:r>
              <w:t xml:space="preserve">0.703</w:t>
            </w:r>
          </w:p>
        </w:tc>
        <w:tc>
          <w:tcPr/>
          <w:p>
            <w:pPr>
              <w:pStyle w:val="Compact"/>
              <w:jc w:val="right"/>
            </w:pPr>
            <w:r>
              <w:t xml:space="preserve">1.1</w:t>
            </w:r>
          </w:p>
        </w:tc>
        <w:tc>
          <w:tcPr/>
          <w:p>
            <w:pPr>
              <w:pStyle w:val="Compact"/>
              <w:jc w:val="right"/>
            </w:pPr>
            <w:r>
              <w:t xml:space="preserve">1.07</w:t>
            </w:r>
          </w:p>
        </w:tc>
        <w:tc>
          <w:tcPr/>
          <w:p>
            <w:pPr>
              <w:pStyle w:val="Compact"/>
              <w:jc w:val="right"/>
            </w:pPr>
            <w:r>
              <w:t xml:space="preserve">1928</w:t>
            </w:r>
          </w:p>
        </w:tc>
      </w:tr>
      <w:tr>
        <w:tc>
          <w:tcPr/>
          <w:p>
            <w:pPr>
              <w:pStyle w:val="Compact"/>
            </w:pPr>
            <w:r>
              <w:t xml:space="preserve">scmap-cluster</w:t>
            </w:r>
          </w:p>
        </w:tc>
        <w:tc>
          <w:tcPr/>
          <w:p>
            <w:pPr>
              <w:pStyle w:val="Compact"/>
              <w:jc w:val="right"/>
            </w:pPr>
            <w:r>
              <w:t xml:space="preserve">0.646</w:t>
            </w:r>
          </w:p>
        </w:tc>
        <w:tc>
          <w:tcPr/>
          <w:p>
            <w:pPr>
              <w:pStyle w:val="Compact"/>
              <w:jc w:val="right"/>
            </w:pPr>
            <w:r>
              <w:t xml:space="preserve">0.550</w:t>
            </w:r>
          </w:p>
        </w:tc>
        <w:tc>
          <w:tcPr/>
          <w:p>
            <w:pPr>
              <w:pStyle w:val="Compact"/>
              <w:jc w:val="right"/>
            </w:pPr>
            <w:r>
              <w:t xml:space="preserve">0.771</w:t>
            </w:r>
          </w:p>
        </w:tc>
        <w:tc>
          <w:tcPr/>
          <w:p>
            <w:pPr>
              <w:pStyle w:val="Compact"/>
              <w:jc w:val="right"/>
            </w:pPr>
            <w:r>
              <w:t xml:space="preserve">0.4</w:t>
            </w:r>
          </w:p>
        </w:tc>
        <w:tc>
          <w:tcPr/>
          <w:p>
            <w:pPr>
              <w:pStyle w:val="Compact"/>
              <w:jc w:val="right"/>
            </w:pPr>
            <w:r>
              <w:t xml:space="preserve">13.1</w:t>
            </w:r>
          </w:p>
        </w:tc>
        <w:tc>
          <w:tcPr/>
          <w:p>
            <w:pPr>
              <w:pStyle w:val="Compact"/>
              <w:jc w:val="right"/>
            </w:pPr>
            <w:r>
              <w:t xml:space="preserve">8073</w:t>
            </w:r>
          </w:p>
        </w:tc>
      </w:tr>
    </w:tbl>
    <w:p>
      <w:pPr>
        <w:pStyle w:val="BodyText"/>
      </w:pPr>
      <w:r>
        <w:rPr>
          <w:b/>
          <w:bCs/>
        </w:rPr>
        <w:t xml:space="preserve">Table 3.</w:t>
      </w:r>
      <w:r>
        <w:t xml:space="preserve"> </w:t>
      </w:r>
      <w:r>
        <w:t xml:space="preserve">Accuracy and cost together, ordered by accuracy. Accuracy is the mean over the five</w:t>
      </w:r>
      <w:r>
        <w:t xml:space="preserve"> </w:t>
      </w:r>
      <w:r>
        <w:t xml:space="preserve">shared-vocabulary datasets, macro-F1 and ontology concordance are means over all six, and cost</w:t>
      </w:r>
      <w:r>
        <w:t xml:space="preserve"> </w:t>
      </w:r>
      <w:r>
        <w:t xml:space="preserve">is the mean per query. Bold marks the best value in a column.</w:t>
      </w:r>
    </w:p>
    <w:p>
      <w:pPr>
        <w:pStyle w:val="BodyText"/>
      </w:pPr>
      <w:r>
        <w:t xml:space="preserve">*In Table 3, scANVI does most of its work in one train+predict pass, attributed to predict.</w:t>
      </w:r>
    </w:p>
    <w:p>
      <w:pPr>
        <w:pStyle w:val="BodyText"/>
      </w:pPr>
      <w:r>
        <w:t xml:space="preserve">The top four methods span</w:t>
      </w:r>
      <w:r>
        <w:t xml:space="preserve"> </w:t>
      </w:r>
      <w:r>
        <w:rPr>
          <w:b/>
          <w:bCs/>
        </w:rPr>
        <w:t xml:space="preserve">0.008 in accuracy, ~130× in predict time</w:t>
      </w:r>
      <w:r>
        <w:t xml:space="preserve"> </w:t>
      </w:r>
      <w:r>
        <w:t xml:space="preserve">(0.34 s to 89 s) and</w:t>
      </w:r>
      <w:r>
        <w:t xml:space="preserve"> </w:t>
      </w:r>
      <w:r>
        <w:t xml:space="preserve">2.4× in memory. scANVI sits within 0.002 of second place and</w:t>
      </w:r>
      <w:r>
        <w:t xml:space="preserve"> </w:t>
      </w:r>
      <w:r>
        <w:rPr>
          <w:b/>
          <w:bCs/>
        </w:rPr>
        <w:t xml:space="preserve">134× slower than actinn-jax</w:t>
      </w:r>
      <w:r>
        <w:t xml:space="preserve"> </w:t>
      </w:r>
      <w:r>
        <w:t xml:space="preserve">at tied accuracy. The linear pipeline is both the most accurate</w:t>
      </w:r>
      <w:r>
        <w:t xml:space="preserve"> </w:t>
      </w:r>
      <w:r>
        <w:t xml:space="preserve">and the fastest to fit, and pays for it in memory — 4294 vs 2399 MB — because ANOVA/PCA densify</w:t>
      </w:r>
      <w:r>
        <w:t xml:space="preserve"> </w:t>
      </w:r>
      <w:r>
        <w:t xml:space="preserve">a cells × genes matrix while actinn-jax stays sparse; that ~1.8× ratio widens to ~2× at atlas</w:t>
      </w:r>
      <w:r>
        <w:t xml:space="preserve"> </w:t>
      </w:r>
      <w:r>
        <w:t xml:space="preserve">scale (6.1 vs 13.2 GB at 49k cells, §3.3). The two profiles suit different jobs: one-shot</w:t>
      </w:r>
      <w:r>
        <w:t xml:space="preserve"> </w:t>
      </w:r>
      <w:r>
        <w:t xml:space="preserve">labelling, versus a reference</w:t>
      </w:r>
      <w:r>
        <w:t xml:space="preserve"> </w:t>
      </w:r>
      <w:r>
        <w:rPr>
          <w:b/>
          <w:bCs/>
        </w:rPr>
        <w:t xml:space="preserve">trained once and reused</w:t>
      </w:r>
      <w:r>
        <w:t xml:space="preserve">, where a cached model pays fit once</w:t>
      </w:r>
      <w:r>
        <w:t xml:space="preserve"> </w:t>
      </w:r>
      <w:r>
        <w:t xml:space="preserve">while the linear pipeline refits scaler/PCA/classifier for every query. ProtoCloud’s 146 s CPU</w:t>
      </w:r>
      <w:r>
        <w:t xml:space="preserve"> </w:t>
      </w:r>
      <w:r>
        <w:t xml:space="preserve">fit buys nothing at this reference size — and buys the top accuracy at atlas scale (§3.3).</w:t>
      </w:r>
    </w:p>
    <w:p>
      <w:pPr>
        <w:pStyle w:val="BodyText"/>
      </w:pPr>
      <w:r>
        <w:rPr>
          <w:b/>
          <w:bCs/>
        </w:rPr>
        <w:t xml:space="preserve">Pretrained annotators, scored ontology-only.</w:t>
      </w:r>
      <w:r>
        <w:t xml:space="preserve"> </w:t>
      </w:r>
      <w:r>
        <w:t xml:space="preserve">The two methods with fixed label vocabularies</w:t>
      </w:r>
      <w:r>
        <w:t xml:space="preserve"> </w:t>
      </w:r>
      <w:r>
        <w:t xml:space="preserve">(§2.2, §2.4) cannot appear in Table 3, since they do not predict the dataset’s label</w:t>
      </w:r>
      <w:r>
        <w:t xml:space="preserve"> </w:t>
      </w:r>
      <w:r>
        <w:t xml:space="preserve">strings. They are scored by ontology concordance on the three datasets where reference and</w:t>
      </w:r>
      <w:r>
        <w:t xml:space="preserve"> </w:t>
      </w:r>
      <w:r>
        <w:t xml:space="preserve">query both carry CL ids, with actinn-jax on the same splits for reference:</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p>
        </w:tc>
        <w:tc>
          <w:tcPr/>
          <w:p>
            <w:pPr>
              <w:pStyle w:val="Compact"/>
              <w:jc w:val="right"/>
            </w:pPr>
            <w:r>
              <w:t xml:space="preserve">lung_intra</w:t>
            </w:r>
          </w:p>
        </w:tc>
        <w:tc>
          <w:tcPr/>
          <w:p>
            <w:pPr>
              <w:pStyle w:val="Compact"/>
              <w:jc w:val="right"/>
            </w:pPr>
            <w:r>
              <w:t xml:space="preserve">liver_intra</w:t>
            </w:r>
          </w:p>
        </w:tc>
        <w:tc>
          <w:tcPr/>
          <w:p>
            <w:pPr>
              <w:pStyle w:val="Compact"/>
              <w:jc w:val="right"/>
            </w:pPr>
            <w:r>
              <w:t xml:space="preserve">liver_cross</w:t>
            </w:r>
          </w:p>
        </w:tc>
        <w:tc>
          <w:tcPr/>
          <w:p>
            <w:pPr>
              <w:pStyle w:val="Compact"/>
              <w:jc w:val="right"/>
            </w:pPr>
            <w:r>
              <w:t xml:space="preserve">predict (s)</w:t>
            </w:r>
          </w:p>
        </w:tc>
      </w:tr>
      <w:tr>
        <w:tc>
          <w:tcPr/>
          <w:p>
            <w:pPr>
              <w:pStyle w:val="Compact"/>
            </w:pPr>
            <w:r>
              <w:t xml:space="preserve">actinn-jax (reference-trained)</w:t>
            </w:r>
          </w:p>
        </w:tc>
        <w:tc>
          <w:tcPr/>
          <w:p>
            <w:pPr>
              <w:pStyle w:val="Compact"/>
              <w:jc w:val="right"/>
            </w:pPr>
            <w:r>
              <w:rPr>
                <w:b/>
                <w:bCs/>
              </w:rPr>
              <w:t xml:space="preserve">0.917</w:t>
            </w:r>
          </w:p>
        </w:tc>
        <w:tc>
          <w:tcPr/>
          <w:p>
            <w:pPr>
              <w:pStyle w:val="Compact"/>
              <w:jc w:val="right"/>
            </w:pPr>
            <w:r>
              <w:rPr>
                <w:b/>
                <w:bCs/>
              </w:rPr>
              <w:t xml:space="preserve">0.846</w:t>
            </w:r>
          </w:p>
        </w:tc>
        <w:tc>
          <w:tcPr/>
          <w:p>
            <w:pPr>
              <w:pStyle w:val="Compact"/>
              <w:jc w:val="right"/>
            </w:pPr>
            <w:r>
              <w:rPr>
                <w:b/>
                <w:bCs/>
              </w:rPr>
              <w:t xml:space="preserve">0.731</w:t>
            </w:r>
          </w:p>
        </w:tc>
        <w:tc>
          <w:tcPr/>
          <w:p>
            <w:pPr>
              <w:pStyle w:val="Compact"/>
              <w:jc w:val="right"/>
            </w:pPr>
            <w:r>
              <w:t xml:space="preserve">0.27–0.37</w:t>
            </w:r>
          </w:p>
        </w:tc>
      </w:tr>
      <w:tr>
        <w:tc>
          <w:tcPr/>
          <w:p>
            <w:pPr>
              <w:pStyle w:val="Compact"/>
            </w:pPr>
            <w:r>
              <w:t xml:space="preserve">Pan-human Azimuth (pretrained)</w:t>
            </w:r>
          </w:p>
        </w:tc>
        <w:tc>
          <w:tcPr/>
          <w:p>
            <w:pPr>
              <w:pStyle w:val="Compact"/>
              <w:jc w:val="right"/>
            </w:pPr>
            <w:r>
              <w:t xml:space="preserve">0.700</w:t>
            </w:r>
          </w:p>
        </w:tc>
        <w:tc>
          <w:tcPr/>
          <w:p>
            <w:pPr>
              <w:pStyle w:val="Compact"/>
              <w:jc w:val="right"/>
            </w:pPr>
            <w:r>
              <w:t xml:space="preserve">0.521</w:t>
            </w:r>
          </w:p>
        </w:tc>
        <w:tc>
          <w:tcPr/>
          <w:p>
            <w:pPr>
              <w:pStyle w:val="Compact"/>
              <w:jc w:val="right"/>
            </w:pPr>
            <w:r>
              <w:t xml:space="preserve">0.408</w:t>
            </w:r>
          </w:p>
        </w:tc>
        <w:tc>
          <w:tcPr/>
          <w:p>
            <w:pPr>
              <w:pStyle w:val="Compact"/>
              <w:jc w:val="right"/>
            </w:pPr>
            <w:r>
              <w:t xml:space="preserve">2.2–3.4</w:t>
            </w:r>
          </w:p>
        </w:tc>
      </w:tr>
      <w:tr>
        <w:tc>
          <w:tcPr/>
          <w:p>
            <w:pPr>
              <w:pStyle w:val="Compact"/>
            </w:pPr>
            <w:r>
              <w:t xml:space="preserve">scPRINT (zero-shot)</w:t>
            </w:r>
          </w:p>
        </w:tc>
        <w:tc>
          <w:tcPr/>
          <w:p>
            <w:pPr>
              <w:pStyle w:val="Compact"/>
              <w:jc w:val="right"/>
            </w:pPr>
            <w:r>
              <w:t xml:space="preserve">0.201</w:t>
            </w:r>
          </w:p>
        </w:tc>
        <w:tc>
          <w:tcPr/>
          <w:p>
            <w:pPr>
              <w:pStyle w:val="Compact"/>
              <w:jc w:val="right"/>
            </w:pPr>
            <w:r>
              <w:t xml:space="preserve">—</w:t>
            </w:r>
          </w:p>
        </w:tc>
        <w:tc>
          <w:tcPr/>
          <w:p>
            <w:pPr>
              <w:pStyle w:val="Compact"/>
              <w:jc w:val="right"/>
            </w:pPr>
            <w:r>
              <w:t xml:space="preserve">—</w:t>
            </w:r>
          </w:p>
        </w:tc>
        <w:tc>
          <w:tcPr/>
          <w:p>
            <w:pPr>
              <w:pStyle w:val="Compact"/>
              <w:jc w:val="right"/>
            </w:pPr>
            <w:r>
              <w:t xml:space="preserve">62.3</w:t>
            </w:r>
          </w:p>
        </w:tc>
      </w:tr>
    </w:tbl>
    <w:p>
      <w:pPr>
        <w:pStyle w:val="BodyText"/>
      </w:pPr>
      <w:r>
        <w:rPr>
          <w:b/>
          <w:bCs/>
        </w:rPr>
        <w:t xml:space="preserve">Table 4.</w:t>
      </w:r>
      <w:r>
        <w:t xml:space="preserve"> </w:t>
      </w:r>
      <w:r>
        <w:t xml:space="preserve">Pretrained annotators, scored by ontology concordance only, on the three datasets</w:t>
      </w:r>
      <w:r>
        <w:t xml:space="preserve"> </w:t>
      </w:r>
      <w:r>
        <w:t xml:space="preserve">where reference and query both carry Cell Ontology ids — with reference-trained actinn-jax on</w:t>
      </w:r>
      <w:r>
        <w:t xml:space="preserve"> </w:t>
      </w:r>
      <w:r>
        <w:t xml:space="preserve">the same splits for scale. Not a like-for-like comparison; see the text below.</w:t>
      </w:r>
    </w:p>
    <w:p>
      <w:pPr>
        <w:pStyle w:val="BodyText"/>
      </w:pPr>
      <w:r>
        <w:rPr>
          <w:b/>
          <w:bCs/>
        </w:rPr>
        <w:t xml:space="preserve">This is not a like-for-like comparison and should not be read as one.</w:t>
      </w:r>
      <w:r>
        <w:t xml:space="preserve"> </w:t>
      </w:r>
      <w:r>
        <w:t xml:space="preserve">actinn-jax is trained</w:t>
      </w:r>
      <w:r>
        <w:t xml:space="preserve"> </w:t>
      </w:r>
      <w:r>
        <w:t xml:space="preserve">on a reference drawn from the same data and scored in its own vocabulary; Pan-human Azimuth has</w:t>
      </w:r>
      <w:r>
        <w:t xml:space="preserve"> </w:t>
      </w:r>
      <w:r>
        <w:t xml:space="preserve">never seen these datasets and answers in a different one. A reference-trained model</w:t>
      </w:r>
      <w:r>
        <w:t xml:space="preserve"> </w:t>
      </w:r>
      <w:r>
        <w:rPr>
          <w:i/>
          <w:iCs/>
        </w:rPr>
        <w:t xml:space="preserve">should</w:t>
      </w:r>
      <w:r>
        <w:t xml:space="preserve"> </w:t>
      </w:r>
      <w:r>
        <w:t xml:space="preserve">win. What the block does establish is the distance between a curated supervised annotator and a</w:t>
      </w:r>
      <w:r>
        <w:t xml:space="preserve"> </w:t>
      </w:r>
      <w:r>
        <w:t xml:space="preserve">zero-shot foundation head — 0.700 against 0.218 on lung — and it sets up §3.4, where Azimuth</w:t>
      </w:r>
      <w:r>
        <w:t xml:space="preserve"> </w:t>
      </w:r>
      <w:r>
        <w:t xml:space="preserve">serves as a broad pass in its own right and as a distillation teacher. Peak memory is</w:t>
      </w:r>
      <w:r>
        <w:t xml:space="preserve"> </w:t>
      </w:r>
      <w:r>
        <w:t xml:space="preserve">indistinguishable between actinn-jax and Azimuth (1.65–2.1 GB on every dataset).</w:t>
      </w:r>
    </w:p>
    <w:p>
      <w:pPr>
        <w:pStyle w:val="BodyText"/>
      </w:pPr>
      <w:r>
        <w:t xml:space="preserve">The top of the accuracy table is a</w:t>
      </w:r>
      <w:r>
        <w:t xml:space="preserve"> </w:t>
      </w:r>
      <w:r>
        <w:rPr>
          <w:b/>
          <w:bCs/>
        </w:rPr>
        <w:t xml:space="preserve">four-way tie within 0.008</w:t>
      </w:r>
      <w:r>
        <w:t xml:space="preserve"> </w:t>
      </w:r>
      <w:r>
        <w:t xml:space="preserve">— the tuned</w:t>
      </w:r>
      <w:r>
        <w:t xml:space="preserve"> </w:t>
      </w:r>
      <w:r>
        <w:rPr>
          <w:b/>
          <w:bCs/>
        </w:rPr>
        <w:t xml:space="preserve">linear pipeline</w:t>
      </w:r>
      <w:r>
        <w:rPr>
          <w:b/>
          <w:bCs/>
        </w:rPr>
        <w:t xml:space="preserve"> </w:t>
      </w:r>
      <w:r>
        <w:rPr>
          <w:b/>
          <w:bCs/>
        </w:rPr>
        <w:t xml:space="preserve">(0.839)</w:t>
      </w:r>
      <w:r>
        <w:t xml:space="preserve">, scANVI (0.833), scArches (0.832) and actinn-jax (0.831) — led by the linear pipeline</w:t>
      </w:r>
      <w:r>
        <w:t xml:space="preserve"> </w:t>
      </w:r>
      <w:r>
        <w:t xml:space="preserve">rather than by a deep model. CellTypist (0.823) sits just outside it. actinn-jax has the best</w:t>
      </w:r>
      <w:r>
        <w:t xml:space="preserve"> </w:t>
      </w:r>
      <w:r>
        <w:t xml:space="preserve">ontology-aware concordance (0.811), marginally ahead of scANVI’s 0.809 — a gap well inside</w:t>
      </w:r>
      <w:r>
        <w:t xml:space="preserve"> </w:t>
      </w:r>
      <w:r>
        <w:t xml:space="preserve">repeat noise, so read it as a tie rather than a lead. ProtoCloud (0.790) and scTOP</w:t>
      </w:r>
      <w:r>
        <w:t xml:space="preserve"> </w:t>
      </w:r>
      <w:r>
        <w:t xml:space="preserve">(0.739) sit below that cluster on these subsampled references: both need conditions these</w:t>
      </w:r>
      <w:r>
        <w:t xml:space="preserve"> </w:t>
      </w:r>
      <w:r>
        <w:t xml:space="preserve">splits do not provide — ProtoCloud is data-hungry and becomes the strongest method once given</w:t>
      </w:r>
      <w:r>
        <w:t xml:space="preserve"> </w:t>
      </w:r>
      <w:r>
        <w:t xml:space="preserve">a real atlas (§5, S3), while scTOP is built for small,</w:t>
      </w:r>
      <w:r>
        <w:t xml:space="preserve"> </w:t>
      </w:r>
      <w:r>
        <w:t xml:space="preserve">low-cardinality problems. Per dataset (accuracy):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dataset</w:t>
            </w:r>
          </w:p>
        </w:tc>
        <w:tc>
          <w:tcPr/>
          <w:p>
            <w:pPr>
              <w:pStyle w:val="Compact"/>
            </w:pPr>
            <w:r>
              <w:t xml:space="preserve">actinn-jax</w:t>
            </w:r>
          </w:p>
        </w:tc>
        <w:tc>
          <w:tcPr/>
          <w:p>
            <w:pPr>
              <w:pStyle w:val="Compact"/>
            </w:pPr>
            <w:r>
              <w:t xml:space="preserve">best method (acc)</w:t>
            </w:r>
          </w:p>
        </w:tc>
      </w:tr>
      <w:tr>
        <w:tc>
          <w:tcPr/>
          <w:p>
            <w:pPr>
              <w:pStyle w:val="Compact"/>
            </w:pPr>
            <w:r>
              <w:t xml:space="preserve">lung_intra (46 types)</w:t>
            </w:r>
          </w:p>
        </w:tc>
        <w:tc>
          <w:tcPr/>
          <w:p>
            <w:pPr>
              <w:pStyle w:val="Compact"/>
            </w:pPr>
            <w:r>
              <w:t xml:space="preserve">0.894</w:t>
            </w:r>
          </w:p>
        </w:tc>
        <w:tc>
          <w:tcPr/>
          <w:p>
            <w:pPr>
              <w:pStyle w:val="Compact"/>
            </w:pPr>
            <w:r>
              <w:t xml:space="preserve">ProtoCloud 0.932</w:t>
            </w:r>
          </w:p>
        </w:tc>
      </w:tr>
      <w:tr>
        <w:tc>
          <w:tcPr/>
          <w:p>
            <w:pPr>
              <w:pStyle w:val="Compact"/>
            </w:pPr>
            <w:r>
              <w:t xml:space="preserve">lung_cross (cross-dataset)†</w:t>
            </w:r>
          </w:p>
        </w:tc>
        <w:tc>
          <w:tcPr/>
          <w:p>
            <w:pPr>
              <w:pStyle w:val="Compact"/>
            </w:pPr>
            <w:r>
              <w:t xml:space="preserve">0.358 exact / 0.752 ontology</w:t>
            </w:r>
          </w:p>
        </w:tc>
        <w:tc>
          <w:tcPr/>
          <w:p>
            <w:pPr>
              <w:pStyle w:val="Compact"/>
            </w:pPr>
            <w:r>
              <w:t xml:space="preserve">ProtoCloud 0.374 /</w:t>
            </w:r>
            <w:r>
              <w:t xml:space="preserve"> </w:t>
            </w:r>
            <w:r>
              <w:rPr>
                <w:b/>
                <w:bCs/>
              </w:rPr>
              <w:t xml:space="preserve">0.791 ontology</w:t>
            </w:r>
          </w:p>
        </w:tc>
      </w:tr>
      <w:tr>
        <w:tc>
          <w:tcPr/>
          <w:p>
            <w:pPr>
              <w:pStyle w:val="Compact"/>
            </w:pPr>
            <w:r>
              <w:t xml:space="preserve">liver_intra (36 types)</w:t>
            </w:r>
          </w:p>
        </w:tc>
        <w:tc>
          <w:tcPr/>
          <w:p>
            <w:pPr>
              <w:pStyle w:val="Compact"/>
            </w:pPr>
            <w:r>
              <w:t xml:space="preserve">0.802</w:t>
            </w:r>
          </w:p>
        </w:tc>
        <w:tc>
          <w:tcPr/>
          <w:p>
            <w:pPr>
              <w:pStyle w:val="Compact"/>
            </w:pPr>
            <w:r>
              <w:t xml:space="preserve">linear-anova-pca 0.804</w:t>
            </w:r>
          </w:p>
        </w:tc>
      </w:tr>
      <w:tr>
        <w:tc>
          <w:tcPr/>
          <w:p>
            <w:pPr>
              <w:pStyle w:val="Compact"/>
            </w:pPr>
            <w:r>
              <w:t xml:space="preserve">liver_cross (cross-study)</w:t>
            </w:r>
          </w:p>
        </w:tc>
        <w:tc>
          <w:tcPr/>
          <w:p>
            <w:pPr>
              <w:pStyle w:val="Compact"/>
            </w:pPr>
            <w:r>
              <w:rPr>
                <w:b/>
                <w:bCs/>
              </w:rPr>
              <w:t xml:space="preserve">0.686 exact / 0.731 ontology</w:t>
            </w:r>
          </w:p>
        </w:tc>
        <w:tc>
          <w:tcPr/>
          <w:p>
            <w:pPr>
              <w:pStyle w:val="Compact"/>
            </w:pPr>
            <w:r>
              <w:t xml:space="preserve">actinn-jax</w:t>
            </w:r>
          </w:p>
        </w:tc>
      </w:tr>
      <w:tr>
        <w:tc>
          <w:tcPr/>
          <w:p>
            <w:pPr>
              <w:pStyle w:val="Compact"/>
            </w:pPr>
            <w:r>
              <w:t xml:space="preserve">blood_gut (86 types)</w:t>
            </w:r>
          </w:p>
        </w:tc>
        <w:tc>
          <w:tcPr/>
          <w:p>
            <w:pPr>
              <w:pStyle w:val="Compact"/>
            </w:pPr>
            <w:r>
              <w:t xml:space="preserve">0.860</w:t>
            </w:r>
          </w:p>
        </w:tc>
        <w:tc>
          <w:tcPr/>
          <w:p>
            <w:pPr>
              <w:pStyle w:val="Compact"/>
            </w:pPr>
            <w:r>
              <w:t xml:space="preserve">linear-anova-pca 0.902</w:t>
            </w:r>
          </w:p>
        </w:tc>
      </w:tr>
      <w:tr>
        <w:tc>
          <w:tcPr/>
          <w:p>
            <w:pPr>
              <w:pStyle w:val="Compact"/>
            </w:pPr>
            <w:r>
              <w:t xml:space="preserve">pbmc (8 types)</w:t>
            </w:r>
          </w:p>
        </w:tc>
        <w:tc>
          <w:tcPr/>
          <w:p>
            <w:pPr>
              <w:pStyle w:val="Compact"/>
            </w:pPr>
            <w:r>
              <w:t xml:space="preserve">0.913</w:t>
            </w:r>
          </w:p>
        </w:tc>
        <w:tc>
          <w:tcPr/>
          <w:p>
            <w:pPr>
              <w:pStyle w:val="Compact"/>
            </w:pPr>
            <w:r>
              <w:t xml:space="preserve">scArches 0.931</w:t>
            </w:r>
          </w:p>
        </w:tc>
      </w:tr>
    </w:tbl>
    <w:p>
      <w:pPr>
        <w:pStyle w:val="BodyText"/>
      </w:pPr>
      <w:r>
        <w:rPr>
          <w:b/>
          <w:bCs/>
        </w:rPr>
        <w:t xml:space="preserve">Table 5.</w:t>
      </w:r>
      <w:r>
        <w:t xml:space="preserve"> </w:t>
      </w:r>
      <w:r>
        <w:t xml:space="preserve">Per-dataset accuracy: actinn-jax against whichever method leads that dataset.</w:t>
      </w:r>
      <w:r>
        <w:t xml:space="preserve"> </w:t>
      </w:r>
      <w:r>
        <w:t xml:space="preserve">† on lung_cross the exact-match score is a vocabulary artifact, so ontology concordance is the</w:t>
      </w:r>
      <w:r>
        <w:t xml:space="preserve"> </w:t>
      </w:r>
      <w:r>
        <w:t xml:space="preserve">meaningful column.</w:t>
      </w:r>
    </w:p>
    <w:p>
      <w:pPr>
        <w:pStyle w:val="BodyText"/>
      </w:pPr>
      <w:r>
        <w:t xml:space="preserve">No single method leads everywhere: the linear pipeline and ProtoCloud each take two datasets,</w:t>
      </w:r>
      <w:r>
        <w:t xml:space="preserve"> </w:t>
      </w:r>
      <w:r>
        <w:t xml:space="preserve">actinn-jax and scArches one apiece. actinn-jax leads the cross-study liver split — the hardest</w:t>
      </w:r>
      <w:r>
        <w:t xml:space="preserve"> </w:t>
      </w:r>
      <w:r>
        <w:t xml:space="preserve">generalization regime here, and the one closest to real reference mapping — and is second on</w:t>
      </w:r>
      <w:r>
        <w:t xml:space="preserve"> </w:t>
      </w:r>
      <w:r>
        <w:t xml:space="preserve">within-dataset liver, while trailing on lung, on the 86-type blood+gut set (−4.2 pt to the</w:t>
      </w:r>
      <w:r>
        <w:t xml:space="preserve"> </w:t>
      </w:r>
      <w:r>
        <w:t xml:space="preserve">linear pipeline), and on small-n pbmc. The spread across the leading methods on any one</w:t>
      </w:r>
      <w:r>
        <w:t xml:space="preserve"> </w:t>
      </w:r>
      <w:r>
        <w:t xml:space="preserve">dataset is 1–4 points. scmap-cluster is consistently the weakest (0.23 macro-F1 on</w:t>
      </w:r>
      <w:r>
        <w:t xml:space="preserve"> </w:t>
      </w:r>
      <w:r>
        <w:t xml:space="preserve">liver_cross).</w:t>
      </w:r>
    </w:p>
    <w:p>
      <w:pPr>
        <w:pStyle w:val="BodyText"/>
      </w:pPr>
      <w:r>
        <w:rPr>
          <w:b/>
          <w:bCs/>
        </w:rPr>
        <w:t xml:space="preserve">† lung_cross exact accuracy (~0.35 for every method) is a label-vocabulary artifact, not</w:t>
      </w:r>
      <w:r>
        <w:rPr>
          <w:b/>
          <w:bCs/>
        </w:rPr>
        <w:t xml:space="preserve"> </w:t>
      </w:r>
      <w:r>
        <w:rPr>
          <w:b/>
          <w:bCs/>
        </w:rPr>
        <w:t xml:space="preserve">a transfer failure.</w:t>
      </w:r>
      <w:r>
        <w:t xml:space="preserve"> </w:t>
      </w:r>
      <w:r>
        <w:t xml:space="preserve">HLCA (reference) and Krasnow (query) were annotated independently and</w:t>
      </w:r>
      <w:r>
        <w:t xml:space="preserve"> </w:t>
      </w:r>
      <w:r>
        <w:t xml:space="preserve">share only</w:t>
      </w:r>
      <w:r>
        <w:t xml:space="preserve"> </w:t>
      </w:r>
      <w:r>
        <w:rPr>
          <w:b/>
          <w:bCs/>
        </w:rPr>
        <w:t xml:space="preserve">20 of 46 cell-type names</w:t>
      </w:r>
      <w:r>
        <w:t xml:space="preserve">; 26 of Krasnow’s types are absent from HLCA’s</w:t>
      </w:r>
      <w:r>
        <w:t xml:space="preserve"> </w:t>
      </w:r>
      <w:r>
        <w:t xml:space="preserve">vocabulary, so no classifier can emit the exact string. The mismatch is granularity: HLCA’s</w:t>
      </w:r>
      <w:r>
        <w:t xml:space="preserve"> </w:t>
      </w:r>
      <w:r>
        <w:t xml:space="preserve">finer taxonomy has</w:t>
      </w:r>
      <w:r>
        <w:t xml:space="preserve"> </w:t>
      </w:r>
      <w:r>
        <w:rPr>
          <w:rStyle w:val="VerbatimChar"/>
        </w:rPr>
        <w:t xml:space="preserve">alveolar / elicited / lung macrophage</w:t>
      </w:r>
      <w:r>
        <w:t xml:space="preserve"> </w:t>
      </w:r>
      <w:r>
        <w:t xml:space="preserve">but</w:t>
      </w:r>
      <w:r>
        <w:t xml:space="preserve"> </w:t>
      </w:r>
      <w:r>
        <w:rPr>
          <w:b/>
          <w:bCs/>
        </w:rPr>
        <w:t xml:space="preserve">no generic</w:t>
      </w:r>
      <w:r>
        <w:rPr>
          <w:b/>
          <w:bCs/>
        </w:rPr>
        <w:t xml:space="preserve"> </w:t>
      </w:r>
      <w:r>
        <w:rPr>
          <w:rStyle w:val="VerbatimChar"/>
          <w:b/>
          <w:bCs/>
        </w:rPr>
        <w:t xml:space="preserve">macrophage</w:t>
      </w:r>
      <w:r>
        <w:t xml:space="preserve"> </w:t>
      </w:r>
      <w:r>
        <w:t xml:space="preserve">(CL:0000235), while Krasnow labels many cells generic</w:t>
      </w:r>
      <w:r>
        <w:t xml:space="preserve"> </w:t>
      </w:r>
      <w:r>
        <w:rPr>
          <w:rStyle w:val="VerbatimChar"/>
        </w:rPr>
        <w:t xml:space="preserve">macrophage</w:t>
      </w:r>
      <w:r>
        <w:t xml:space="preserve"> </w:t>
      </w:r>
      <w:r>
        <w:t xml:space="preserve">— so an HLCA-trained</w:t>
      </w:r>
      <w:r>
        <w:t xml:space="preserve"> </w:t>
      </w:r>
      <w:r>
        <w:t xml:space="preserve">model predicts</w:t>
      </w:r>
      <w:r>
        <w:t xml:space="preserve"> </w:t>
      </w:r>
      <w:r>
        <w:rPr>
          <w:rStyle w:val="VerbatimChar"/>
        </w:rPr>
        <w:t xml:space="preserve">lung macrophage</w:t>
      </w:r>
      <w:r>
        <w:t xml:space="preserve"> </w:t>
      </w:r>
      <w:r>
        <w:t xml:space="preserve">(CL:1001603) for them, exact-wrong but ontology-correct</w:t>
      </w:r>
      <w:r>
        <w:t xml:space="preserve"> </w:t>
      </w:r>
      <w:r>
        <w:t xml:space="preserve">(</w:t>
      </w:r>
      <w:r>
        <w:rPr>
          <w:i/>
          <w:iCs/>
        </w:rPr>
        <w:t xml:space="preserve">lung macrophage is-a macrophage</w:t>
      </w:r>
      <w:r>
        <w:t xml:space="preserve">); likewise Krasnow’s generic</w:t>
      </w:r>
      <w:r>
        <w:t xml:space="preserve"> </w:t>
      </w:r>
      <w:r>
        <w:rPr>
          <w:rStyle w:val="VerbatimChar"/>
        </w:rPr>
        <w:t xml:space="preserve">endothelial cell</w:t>
      </w:r>
      <w:r>
        <w:t xml:space="preserve"> </w:t>
      </w:r>
      <w:r>
        <w:t xml:space="preserve">(CL:0000115) has no HLCA counterpart.</w:t>
      </w:r>
      <w:r>
        <w:t xml:space="preserve"> </w:t>
      </w:r>
      <w:r>
        <w:rPr>
          <w:b/>
          <w:bCs/>
        </w:rPr>
        <w:t xml:space="preserve">Ontology-aware concordance — which credits a</w:t>
      </w:r>
      <w:r>
        <w:rPr>
          <w:b/>
          <w:bCs/>
        </w:rPr>
        <w:t xml:space="preserve"> </w:t>
      </w:r>
      <w:r>
        <w:rPr>
          <w:b/>
          <w:bCs/>
        </w:rPr>
        <w:t xml:space="preserve">same-lineage call — is ~0.75 for the trained methods (0.67–0.79 across the full panel,</w:t>
      </w:r>
      <w:r>
        <w:rPr>
          <w:b/>
          <w:bCs/>
        </w:rPr>
        <w:t xml:space="preserve"> </w:t>
      </w:r>
      <w:r>
        <w:rPr>
          <w:b/>
          <w:bCs/>
        </w:rPr>
        <w:t xml:space="preserve">highest for ProtoCloud)</w:t>
      </w:r>
      <w:r>
        <w:t xml:space="preserve">, so cross-dataset transfer actually</w:t>
      </w:r>
      <w:r>
        <w:t xml:space="preserve"> </w:t>
      </w:r>
      <w:r>
        <w:t xml:space="preserve">works; exact-match just conflates classifier error with vocabulary/granularity mismatch.</w:t>
      </w:r>
      <w:r>
        <w:t xml:space="preserve"> </w:t>
      </w:r>
      <w:r>
        <w:t xml:space="preserve">This is precisely why we report ontology concordance, and it is a general benchmarking</w:t>
      </w:r>
      <w:r>
        <w:t xml:space="preserve"> </w:t>
      </w:r>
      <w:r>
        <w:t xml:space="preserve">pitfall:</w:t>
      </w:r>
      <w:r>
        <w:t xml:space="preserve"> </w:t>
      </w:r>
      <w:r>
        <w:rPr>
          <w:b/>
          <w:bCs/>
        </w:rPr>
        <w:t xml:space="preserve">cross-dataset exact accuracy between independently-annotated atlases is not a</w:t>
      </w:r>
      <w:r>
        <w:rPr>
          <w:b/>
          <w:bCs/>
        </w:rPr>
        <w:t xml:space="preserve"> </w:t>
      </w:r>
      <w:r>
        <w:rPr>
          <w:b/>
          <w:bCs/>
        </w:rPr>
        <w:t xml:space="preserve">meaningful accuracy signal.</w:t>
      </w:r>
      <w:r>
        <w:t xml:space="preserve"> </w:t>
      </w:r>
      <w:r>
        <w:t xml:space="preserve">The other five datasets use a single shared label vocabulary</w:t>
      </w:r>
      <w:r>
        <w:t xml:space="preserve"> </w:t>
      </w:r>
      <w:r>
        <w:t xml:space="preserve">for reference and query (a split of one atlas, or HLiCA’s harmonized annotations), so their</w:t>
      </w:r>
      <w:r>
        <w:t xml:space="preserve"> </w:t>
      </w:r>
      <w:r>
        <w:t xml:space="preserve">exact scores are unaffected.</w:t>
      </w:r>
    </w:p>
    <w:bookmarkEnd w:id="47"/>
    <w:bookmarkStart w:id="51" w:name="the-accuracy-speed-frontier"/>
    <w:p>
      <w:pPr>
        <w:pStyle w:val="Heading2"/>
      </w:pPr>
      <w:r>
        <w:t xml:space="preserve">The accuracy × speed frontier</w:t>
      </w:r>
    </w:p>
    <w:p>
      <w:pPr>
        <w:pStyle w:val="FirstParagraph"/>
      </w:pPr>
      <w:r>
        <w:drawing>
          <wp:inline>
            <wp:extent cx="5334000" cy="3671222"/>
            <wp:effectExtent b="0" l="0" r="0" t="0"/>
            <wp:docPr descr="Pareto" title="" id="49" name="Picture"/>
            <a:graphic>
              <a:graphicData uri="http://schemas.openxmlformats.org/drawingml/2006/picture">
                <pic:pic>
                  <pic:nvPicPr>
                    <pic:cNvPr descr="/Users/iandriver/Downloads/actinn-jax-benchmark/docs/figures/fig_pareto_liver_intra.png" id="50" name="Picture"/>
                    <pic:cNvPicPr>
                      <a:picLocks noChangeArrowheads="1" noChangeAspect="1"/>
                    </pic:cNvPicPr>
                  </pic:nvPicPr>
                  <pic:blipFill>
                    <a:blip r:embed="rId48"/>
                    <a:stretch>
                      <a:fillRect/>
                    </a:stretch>
                  </pic:blipFill>
                  <pic:spPr bwMode="auto">
                    <a:xfrm>
                      <a:off x="0" y="0"/>
                      <a:ext cx="5334000" cy="3671222"/>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Accuracy against total wall time on liver_intra. The tuned linear pipeline holds</w:t>
      </w:r>
      <w:r>
        <w:t xml:space="preserve"> </w:t>
      </w:r>
      <w:r>
        <w:t xml:space="preserve">the fast-frontier point; actinn-jax sits just inside it at this reference size, and what</w:t>
      </w:r>
      <w:r>
        <w:t xml:space="preserve"> </w:t>
      </w:r>
      <w:r>
        <w:t xml:space="preserve">separates it is visible only on the scaling axes of Figure 2.</w:t>
      </w:r>
    </w:p>
    <w:p>
      <w:pPr>
        <w:pStyle w:val="BodyText"/>
      </w:pPr>
      <w:r>
        <w:t xml:space="preserve">The</w:t>
      </w:r>
      <w:r>
        <w:t xml:space="preserve"> </w:t>
      </w:r>
      <w:r>
        <w:rPr>
          <w:b/>
          <w:bCs/>
        </w:rPr>
        <w:t xml:space="preserve">tuned linear pipeline</w:t>
      </w:r>
      <w:r>
        <w:t xml:space="preserve"> </w:t>
      </w:r>
      <w:r>
        <w:t xml:space="preserve">holds the fast-frontier point: highest matrix accuracy (0.839) at the lowest fit</w:t>
      </w:r>
      <w:r>
        <w:t xml:space="preserve"> </w:t>
      </w:r>
      <w:r>
        <w:t xml:space="preserve">time of any accurate method (3.0 s), placing it above and to the left of actinn-jax, SVM, kNN</w:t>
      </w:r>
      <w:r>
        <w:t xml:space="preserve"> </w:t>
      </w:r>
      <w:r>
        <w:t xml:space="preserve">and CellTypist. The deep methods buy little or nothing on accuracy here — at or below the</w:t>
      </w:r>
      <w:r>
        <w:t xml:space="preserve"> </w:t>
      </w:r>
      <w:r>
        <w:t xml:space="preserve">linear pipeline on every dataset except lung — for 30–130× the inference cost. actinn-jax</w:t>
      </w:r>
      <w:r>
        <w:t xml:space="preserve"> </w:t>
      </w:r>
      <w:r>
        <w:t xml:space="preserve">sits just inside the frontier at this reference size; what separates it is not visible on a</w:t>
      </w:r>
      <w:r>
        <w:t xml:space="preserve"> </w:t>
      </w:r>
      <w:r>
        <w:t xml:space="preserve">fixed-size plot but on the scaling axes of §3.3 and §5: predict time that stays flat as the</w:t>
      </w:r>
      <w:r>
        <w:t xml:space="preserve"> </w:t>
      </w:r>
      <w:r>
        <w:t xml:space="preserve">reference grows, and ~2× lower peak memory that holds to atlas scale. The figure is drawn</w:t>
      </w:r>
      <w:r>
        <w:t xml:space="preserve"> </w:t>
      </w:r>
      <w:r>
        <w:t xml:space="preserve">from the liver_intra panel and depicts the ranking of Tables 3 and 5.</w:t>
      </w:r>
    </w:p>
    <w:bookmarkEnd w:id="51"/>
    <w:bookmarkStart w:id="55" w:name="scaling"/>
    <w:p>
      <w:pPr>
        <w:pStyle w:val="Heading2"/>
      </w:pPr>
      <w:r>
        <w:t xml:space="preserve">Scaling</w:t>
      </w:r>
    </w:p>
    <w:p>
      <w:pPr>
        <w:pStyle w:val="FirstParagraph"/>
      </w:pPr>
      <w:r>
        <w:drawing>
          <wp:inline>
            <wp:extent cx="5334000" cy="1970216"/>
            <wp:effectExtent b="0" l="0" r="0" t="0"/>
            <wp:docPr descr="scaling" title="" id="53" name="Picture"/>
            <a:graphic>
              <a:graphicData uri="http://schemas.openxmlformats.org/drawingml/2006/picture">
                <pic:pic>
                  <pic:nvPicPr>
                    <pic:cNvPr descr="/Users/iandriver/Downloads/actinn-jax-benchmark/docs/figures/fig_scaling.png" id="54" name="Picture"/>
                    <pic:cNvPicPr>
                      <a:picLocks noChangeArrowheads="1" noChangeAspect="1"/>
                    </pic:cNvPicPr>
                  </pic:nvPicPr>
                  <pic:blipFill>
                    <a:blip r:embed="rId52"/>
                    <a:stretch>
                      <a:fillRect/>
                    </a:stretch>
                  </pic:blipFill>
                  <pic:spPr bwMode="auto">
                    <a:xfrm>
                      <a:off x="0" y="0"/>
                      <a:ext cx="5334000" cy="1970216"/>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Fit and predict time against reference size and label cardinality. Fit time grows</w:t>
      </w:r>
      <w:r>
        <w:t xml:space="preserve"> </w:t>
      </w:r>
      <w:r>
        <w:t xml:space="preserve">for every trained method; predict time stays flat and sub-second across the whole range.</w:t>
      </w:r>
    </w:p>
    <w:p>
      <w:pPr>
        <w:pStyle w:val="BodyText"/>
      </w:pPr>
      <w:r>
        <w:t xml:space="preserve">Training time grows with reference size and with #cell types for all trained methods —</w:t>
      </w:r>
      <w:r>
        <w:t xml:space="preserve"> </w:t>
      </w:r>
      <w:r>
        <w:t xml:space="preserve">actinn-jax’s fit goes 2.6 s → 17.4 s → 23.5 s as the reference grows 965 → 14.8k → 24k</w:t>
      </w:r>
      <w:r>
        <w:t xml:space="preserve"> </w:t>
      </w:r>
      <w:r>
        <w:t xml:space="preserve">cells, below CellTypist (6 s → 71 s → 116 s) and SVM (4 s → 51 s → 80 s) at every size in</w:t>
      </w:r>
      <w:r>
        <w:t xml:space="preserve"> </w:t>
      </w:r>
      <w:r>
        <w:t xml:space="preserve">the sweep; kNN is lazy (fit is trivial but it pays at predict and is the least accurate).</w:t>
      </w:r>
    </w:p>
    <w:p>
      <w:pPr>
        <w:pStyle w:val="BodyText"/>
      </w:pPr>
      <w:r>
        <w:t xml:space="preserve">The other axis is the one that matters for the workflows:</w:t>
      </w:r>
      <w:r>
        <w:t xml:space="preserve"> </w:t>
      </w:r>
      <w:r>
        <w:rPr>
          <w:b/>
          <w:bCs/>
        </w:rPr>
        <w:t xml:space="preserve">predict time stays flat and</w:t>
      </w:r>
      <w:r>
        <w:rPr>
          <w:b/>
          <w:bCs/>
        </w:rPr>
        <w:t xml:space="preserve"> </w:t>
      </w:r>
      <w:r>
        <w:rPr>
          <w:b/>
          <w:bCs/>
        </w:rPr>
        <w:t xml:space="preserve">sub-second across the entire range — 0.08–0.33 s whether the reference has 1k or 24k cells,</w:t>
      </w:r>
      <w:r>
        <w:rPr>
          <w:b/>
          <w:bCs/>
        </w:rPr>
        <w:t xml:space="preserve"> </w:t>
      </w:r>
      <w:r>
        <w:rPr>
          <w:b/>
          <w:bCs/>
        </w:rPr>
        <w:t xml:space="preserve">or 5 or 86 types.</w:t>
      </w:r>
      <w:r>
        <w:t xml:space="preserve"> </w:t>
      </w:r>
      <w:r>
        <w:t xml:space="preserve">Inference cost does not grow with reference size or cardinality, and with the</w:t>
      </w:r>
      <w:r>
        <w:t xml:space="preserve"> </w:t>
      </w:r>
      <w:r>
        <w:t xml:space="preserve">train-once/map-many cache the fit cost is paid once and the flat predict cost is all that</w:t>
      </w:r>
      <w:r>
        <w:t xml:space="preserve"> </w:t>
      </w:r>
      <w:r>
        <w:t xml:space="preserve">recurs — the regime that matters when a reference is reused across many queries. (The</w:t>
      </w:r>
      <w:r>
        <w:t xml:space="preserve"> </w:t>
      </w:r>
      <w:r>
        <w:t xml:space="preserve">scaling script’s memory column is process-cumulative and not a clean per-size measurement;</w:t>
      </w:r>
      <w:r>
        <w:t xml:space="preserve"> </w:t>
      </w:r>
      <w:r>
        <w:t xml:space="preserve">per-method peak memory is reported from the isolated-subprocess matrix in §3.2.)</w:t>
      </w:r>
    </w:p>
    <w:bookmarkEnd w:id="55"/>
    <w:bookmarkStart w:id="59" w:name="the-broadfocused-annotation-workflow"/>
    <w:p>
      <w:pPr>
        <w:pStyle w:val="Heading2"/>
      </w:pPr>
      <w:r>
        <w:t xml:space="preserve">The broad→focused annotation workflow</w:t>
      </w:r>
    </w:p>
    <w:p>
      <w:pPr>
        <w:pStyle w:val="FirstParagraph"/>
      </w:pPr>
      <w:r>
        <w:t xml:space="preserve">What actinn-jax is built around is not a single classifier but a</w:t>
      </w:r>
      <w:r>
        <w:t xml:space="preserve"> </w:t>
      </w:r>
      <w:r>
        <w:rPr>
          <w:b/>
          <w:bCs/>
        </w:rPr>
        <w:t xml:space="preserve">two-pass workflow</w:t>
      </w:r>
      <w:r>
        <w:t xml:space="preserve"> </w:t>
      </w:r>
      <w:r>
        <w:t xml:space="preserve">that</w:t>
      </w:r>
      <w:r>
        <w:t xml:space="preserve"> </w:t>
      </w:r>
      <w:r>
        <w:t xml:space="preserve">matches how annotation is actually done: get a broad call fast, then sharpen it where it</w:t>
      </w:r>
      <w:r>
        <w:t xml:space="preserve"> </w:t>
      </w:r>
      <w:r>
        <w:t xml:space="preserve">matters. Because every stage is a cached</w:t>
      </w:r>
      <w:r>
        <w:t xml:space="preserve"> </w:t>
      </w:r>
      <w:r>
        <w:rPr>
          <w:rStyle w:val="VerbatimChar"/>
        </w:rPr>
        <w:t xml:space="preserve">ReferenceModel</w:t>
      </w:r>
      <w:r>
        <w:t xml:space="preserve"> </w:t>
      </w:r>
      <w:r>
        <w:t xml:space="preserve">with sub-second, memory-bounded</w:t>
      </w:r>
      <w:r>
        <w:t xml:space="preserve"> </w:t>
      </w:r>
      <w:r>
        <w:t xml:space="preserve">inference (§3.1, §3.3), the whole workflow runs on a laptop.</w:t>
      </w:r>
    </w:p>
    <w:p>
      <w:pPr>
        <w:pStyle w:val="BodyText"/>
      </w:pPr>
      <w:r>
        <w:drawing>
          <wp:inline>
            <wp:extent cx="5334000" cy="1968618"/>
            <wp:effectExtent b="0" l="0" r="0" t="0"/>
            <wp:docPr descr="the broad pass and the focused pass on one query" title="" id="57" name="Picture"/>
            <a:graphic>
              <a:graphicData uri="http://schemas.openxmlformats.org/drawingml/2006/picture">
                <pic:pic>
                  <pic:nvPicPr>
                    <pic:cNvPr descr="/Users/iandriver/Downloads/actinn-jax-benchmark/docs/figures/fig_workflow_umap_ondata.png" id="58" name="Picture"/>
                    <pic:cNvPicPr>
                      <a:picLocks noChangeArrowheads="1" noChangeAspect="1"/>
                    </pic:cNvPicPr>
                  </pic:nvPicPr>
                  <pic:blipFill>
                    <a:blip r:embed="rId56"/>
                    <a:stretch>
                      <a:fillRect/>
                    </a:stretch>
                  </pic:blipFill>
                  <pic:spPr bwMode="auto">
                    <a:xfrm>
                      <a:off x="0" y="0"/>
                      <a:ext cx="5334000" cy="1968618"/>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The workflow on a withheld HLiCA liver study (3,396 cells), same embedding</w:t>
      </w:r>
      <w:r>
        <w:t xml:space="preserve"> </w:t>
      </w:r>
      <w:r>
        <w:t xml:space="preserve">throughout.</w:t>
      </w:r>
      <w:r>
        <w:t xml:space="preserve"> </w:t>
      </w:r>
      <w:r>
        <w:rPr>
          <w:i/>
          <w:iCs/>
        </w:rPr>
        <w:t xml:space="preserve">Left:</w:t>
      </w:r>
      <w:r>
        <w:t xml:space="preserve"> </w:t>
      </w:r>
      <w:r>
        <w:t xml:space="preserve">the shipped census reference spreads 137 of its 798 labels over the query</w:t>
      </w:r>
      <w:r>
        <w:t xml:space="preserve"> </w:t>
      </w:r>
      <w:r>
        <w:t xml:space="preserve">(concordance</w:t>
      </w:r>
      <w:r>
        <w:t xml:space="preserve"> </w:t>
      </w:r>
      <w:r>
        <w:rPr>
          <w:b/>
          <w:bCs/>
        </w:rPr>
        <w:t xml:space="preserve">0.34</w:t>
      </w:r>
      <w:r>
        <w:t xml:space="preserve">) — it is not trying to name subtypes.</w:t>
      </w:r>
      <w:r>
        <w:t xml:space="preserve"> </w:t>
      </w:r>
      <w:r>
        <w:rPr>
          <w:i/>
          <w:iCs/>
        </w:rPr>
        <w:t xml:space="preserve">Centre:</w:t>
      </w:r>
      <w:r>
        <w:t xml:space="preserve"> </w:t>
      </w:r>
      <w:r>
        <w:t xml:space="preserve">those calls resolved to</w:t>
      </w:r>
      <w:r>
        <w:t xml:space="preserve"> </w:t>
      </w:r>
      <w:r>
        <w:t xml:space="preserve">tissue through the reference’s per-class tissue map;</w:t>
      </w:r>
      <w:r>
        <w:t xml:space="preserve"> </w:t>
      </w:r>
      <w:r>
        <w:rPr>
          <w:b/>
          <w:bCs/>
        </w:rPr>
        <w:t xml:space="preserve">76%</w:t>
      </w:r>
      <w:r>
        <w:t xml:space="preserve"> </w:t>
      </w:r>
      <w:r>
        <w:t xml:space="preserve">of tissue-specific calls say</w:t>
      </w:r>
      <w:r>
        <w:t xml:space="preserve"> </w:t>
      </w:r>
      <w:r>
        <w:t xml:space="preserve">liver against 4% for the next candidate, which is the decision that selects the next</w:t>
      </w:r>
      <w:r>
        <w:t xml:space="preserve"> </w:t>
      </w:r>
      <w:r>
        <w:t xml:space="preserve">reference.</w:t>
      </w:r>
      <w:r>
        <w:t xml:space="preserve"> </w:t>
      </w:r>
      <w:r>
        <w:rPr>
          <w:i/>
          <w:iCs/>
        </w:rPr>
        <w:t xml:space="preserve">Right of centre:</w:t>
      </w:r>
      <w:r>
        <w:t xml:space="preserve"> </w:t>
      </w:r>
      <w:r>
        <w:t xml:space="preserve">the 36-type liver reference re-annotates the same cells at</w:t>
      </w:r>
      <w:r>
        <w:t xml:space="preserve"> </w:t>
      </w:r>
      <w:r>
        <w:rPr>
          <w:b/>
          <w:bCs/>
        </w:rPr>
        <w:t xml:space="preserve">0.73</w:t>
      </w:r>
      <w:r>
        <w:t xml:space="preserve">, now tracking the clusters.</w:t>
      </w:r>
      <w:r>
        <w:t xml:space="preserve"> </w:t>
      </w:r>
      <w:r>
        <w:rPr>
          <w:i/>
          <w:iCs/>
        </w:rPr>
        <w:t xml:space="preserve">Right:</w:t>
      </w:r>
      <w:r>
        <w:t xml:space="preserve"> </w:t>
      </w:r>
      <w:r>
        <w:t xml:space="preserve">the study’s own labels on the shared palette.</w:t>
      </w:r>
      <w:r>
        <w:t xml:space="preserve"> </w:t>
      </w:r>
      <w:r>
        <w:t xml:space="preserve">Both models are leakage-free for this query: the focused reference is trained only on the six</w:t>
      </w:r>
      <w:r>
        <w:t xml:space="preserve"> </w:t>
      </w:r>
      <w:r>
        <w:t xml:space="preserve">non-withheld studies. Abstention is off in all panels, so the numbers measure labelling</w:t>
      </w:r>
      <w:r>
        <w:t xml:space="preserve"> </w:t>
      </w:r>
      <w:r>
        <w:t xml:space="preserve">rather than coverage; §3.5 covers abstain separately.</w:t>
      </w:r>
    </w:p>
    <w:p>
      <w:pPr>
        <w:pStyle w:val="BodyText"/>
      </w:pPr>
      <w:r>
        <w:rPr>
          <w:b/>
          <w:bCs/>
        </w:rPr>
        <w:t xml:space="preserve">The broad pass — census-scale.</w:t>
      </w:r>
      <w:r>
        <w:t xml:space="preserve"> </w:t>
      </w:r>
      <w:r>
        <w:t xml:space="preserve">A shipped ~800-type human reference built from the</w:t>
      </w:r>
      <w:r>
        <w:t xml:space="preserve"> </w:t>
      </w:r>
      <w:r>
        <w:t xml:space="preserve">CELLxGENE census gives any query a first-pass annotation across the whole body, with a</w:t>
      </w:r>
      <w:r>
        <w:t xml:space="preserve"> </w:t>
      </w:r>
      <w:r>
        <w:rPr>
          <w:b/>
          <w:bCs/>
        </w:rPr>
        <w:t xml:space="preserve">calibrated abstain threshold</w:t>
      </w:r>
      <w:r>
        <w:t xml:space="preserve"> </w:t>
      </w:r>
      <w:r>
        <w:t xml:space="preserve">so out-of-reference cells are flagged rather than</w:t>
      </w:r>
      <w:r>
        <w:t xml:space="preserve"> </w:t>
      </w:r>
      <w:r>
        <w:t xml:space="preserve">force-labeled (S9, and the smooth abstain curve of §3.5). This is the</w:t>
      </w:r>
      <w:r>
        <w:t xml:space="preserve"> </w:t>
      </w:r>
      <w:r>
        <w:t xml:space="preserve">“what am I looking at”</w:t>
      </w:r>
      <w:r>
        <w:t xml:space="preserve"> </w:t>
      </w:r>
      <w:r>
        <w:t xml:space="preserve">pass — broad coverage, deliberately not fine-grained.</w:t>
      </w:r>
    </w:p>
    <w:p>
      <w:pPr>
        <w:pStyle w:val="BodyText"/>
      </w:pPr>
      <w:r>
        <w:rPr>
          <w:b/>
          <w:bCs/>
        </w:rPr>
        <w:t xml:space="preserve">The broad pass can be built from a model instead of from labels.</w:t>
      </w:r>
      <w:r>
        <w:t xml:space="preserve"> </w:t>
      </w:r>
      <w:r>
        <w:t xml:space="preserve">The census route above needs a</w:t>
      </w:r>
      <w:r>
        <w:t xml:space="preserve"> </w:t>
      </w:r>
      <w:r>
        <w:t xml:space="preserve">foundation model on a GPU to discover its hierarchy. A pretrained pan-human annotator</w:t>
      </w:r>
      <w:r>
        <w:t xml:space="preserve"> </w:t>
      </w:r>
      <w:r>
        <w:t xml:space="preserve">already has one — Pan-human Azimuth publishes an 8-level typology with every node mapped to</w:t>
      </w:r>
      <w:r>
        <w:t xml:space="preserve"> </w:t>
      </w:r>
      <w:r>
        <w:t xml:space="preserve">a Cell Ontology term — so labelling a corpus with it and training actinn-jax on those labels</w:t>
      </w:r>
      <w:r>
        <w:t xml:space="preserve"> </w:t>
      </w:r>
      <w:r>
        <w:t xml:space="preserve">transfers both the vocabulary and the structure. That build needs</w:t>
      </w:r>
      <w:r>
        <w:t xml:space="preserve"> </w:t>
      </w:r>
      <w:r>
        <w:rPr>
          <w:b/>
          <w:bCs/>
        </w:rPr>
        <w:t xml:space="preserve">no GPU and no</w:t>
      </w:r>
      <w:r>
        <w:rPr>
          <w:b/>
          <w:bCs/>
        </w:rPr>
        <w:t xml:space="preserve"> </w:t>
      </w:r>
      <w:r>
        <w:rPr>
          <w:b/>
          <w:bCs/>
        </w:rPr>
        <w:t xml:space="preserve">labeled input</w:t>
      </w:r>
      <w:r>
        <w:t xml:space="preserve">, only raw human counts: under ten minutes of CPU on 85k cells drawn from</w:t>
      </w:r>
      <w:r>
        <w:t xml:space="preserve"> </w:t>
      </w:r>
      <w:r>
        <w:t xml:space="preserve">three atlases plus a census-wide sample (S6). On</w:t>
      </w:r>
      <w:r>
        <w:t xml:space="preserve"> </w:t>
      </w:r>
      <w:r>
        <w:t xml:space="preserve">3,396 withheld cross-study liver cells:</w:t>
      </w:r>
    </w:p>
    <w:tbl>
      <w:tblPr>
        <w:tblStyle w:val="Table"/>
        <w:tblW w:type="pct" w:w="5000"/>
        <w:tblLayout w:type="fixed"/>
        <w:tblLook w:firstRow="1" w:lastRow="0" w:firstColumn="0" w:lastColumn="0" w:noHBand="0" w:noVBand="0" w:val="0020"/>
      </w:tblPr>
      <w:tblGrid>
        <w:gridCol w:w="4483"/>
        <w:gridCol w:w="1046"/>
        <w:gridCol w:w="1046"/>
        <w:gridCol w:w="1344"/>
      </w:tblGrid>
      <w:tr>
        <w:trPr>
          <w:tblHeader w:val="on"/>
        </w:trPr>
        <w:tc>
          <w:tcPr/>
          <w:p>
            <w:pPr>
              <w:pStyle w:val="Compact"/>
            </w:pPr>
            <w:r>
              <w:t xml:space="preserve">broad-pass model</w:t>
            </w:r>
          </w:p>
        </w:tc>
        <w:tc>
          <w:tcPr/>
          <w:p>
            <w:pPr>
              <w:pStyle w:val="Compact"/>
              <w:jc w:val="right"/>
            </w:pPr>
            <w:r>
              <w:t xml:space="preserve">classes</w:t>
            </w:r>
          </w:p>
        </w:tc>
        <w:tc>
          <w:tcPr/>
          <w:p>
            <w:pPr>
              <w:pStyle w:val="Compact"/>
              <w:jc w:val="right"/>
            </w:pPr>
            <w:r>
              <w:t xml:space="preserve">ontology</w:t>
            </w:r>
          </w:p>
        </w:tc>
        <w:tc>
          <w:tcPr/>
          <w:p>
            <w:pPr>
              <w:pStyle w:val="Compact"/>
              <w:jc w:val="right"/>
            </w:pPr>
            <w:r>
              <w:t xml:space="preserve">cells/s</w:t>
            </w:r>
          </w:p>
        </w:tc>
      </w:tr>
      <w:tr>
        <w:tc>
          <w:tcPr/>
          <w:p>
            <w:pPr>
              <w:pStyle w:val="Compact"/>
            </w:pPr>
            <w:r>
              <w:t xml:space="preserve">census-built (</w:t>
            </w:r>
            <w:r>
              <w:rPr>
                <w:rStyle w:val="VerbatimChar"/>
              </w:rPr>
              <w:t xml:space="preserve">broad_human_v1</w:t>
            </w:r>
            <w:r>
              <w:t xml:space="preserve">)</w:t>
            </w:r>
          </w:p>
        </w:tc>
        <w:tc>
          <w:tcPr/>
          <w:p>
            <w:pPr>
              <w:pStyle w:val="Compact"/>
              <w:jc w:val="right"/>
            </w:pPr>
            <w:r>
              <w:t xml:space="preserve">798</w:t>
            </w:r>
          </w:p>
        </w:tc>
        <w:tc>
          <w:tcPr/>
          <w:p>
            <w:pPr>
              <w:pStyle w:val="Compact"/>
              <w:jc w:val="right"/>
            </w:pPr>
            <w:r>
              <w:t xml:space="preserve">0.338</w:t>
            </w:r>
          </w:p>
        </w:tc>
        <w:tc>
          <w:tcPr/>
          <w:p>
            <w:pPr>
              <w:pStyle w:val="Compact"/>
              <w:jc w:val="right"/>
            </w:pPr>
            <w:r>
              <w:t xml:space="preserve">2,962</w:t>
            </w:r>
          </w:p>
        </w:tc>
      </w:tr>
      <w:tr>
        <w:tc>
          <w:tcPr/>
          <w:p>
            <w:pPr>
              <w:pStyle w:val="Compact"/>
            </w:pPr>
            <w:r>
              <w:t xml:space="preserve">Pan-human Azimuth</w:t>
            </w:r>
          </w:p>
        </w:tc>
        <w:tc>
          <w:tcPr/>
          <w:p>
            <w:pPr>
              <w:pStyle w:val="Compact"/>
              <w:jc w:val="right"/>
            </w:pPr>
            <w:r>
              <w:t xml:space="preserve">382</w:t>
            </w:r>
          </w:p>
        </w:tc>
        <w:tc>
          <w:tcPr/>
          <w:p>
            <w:pPr>
              <w:pStyle w:val="Compact"/>
              <w:jc w:val="right"/>
            </w:pPr>
            <w:r>
              <w:t xml:space="preserve">0.380</w:t>
            </w:r>
          </w:p>
        </w:tc>
        <w:tc>
          <w:tcPr/>
          <w:p>
            <w:pPr>
              <w:pStyle w:val="Compact"/>
              <w:jc w:val="right"/>
            </w:pPr>
            <w:r>
              <w:t xml:space="preserve">1,076–1,563</w:t>
            </w:r>
          </w:p>
        </w:tc>
      </w:tr>
      <w:tr>
        <w:tc>
          <w:tcPr/>
          <w:p>
            <w:pPr>
              <w:pStyle w:val="Compact"/>
            </w:pPr>
            <w:r>
              <w:rPr>
                <w:b/>
                <w:bCs/>
              </w:rPr>
              <w:t xml:space="preserve">distilled (</w:t>
            </w:r>
            <w:r>
              <w:rPr>
                <w:rStyle w:val="VerbatimChar"/>
                <w:b/>
                <w:bCs/>
              </w:rPr>
              <w:t xml:space="preserve">panhuman_distill_v1</w:t>
            </w:r>
            <w:r>
              <w:rPr>
                <w:b/>
                <w:bCs/>
              </w:rPr>
              <w:t xml:space="preserve">)</w:t>
            </w:r>
          </w:p>
        </w:tc>
        <w:tc>
          <w:tcPr/>
          <w:p>
            <w:pPr>
              <w:pStyle w:val="Compact"/>
              <w:jc w:val="right"/>
            </w:pPr>
            <w:r>
              <w:t xml:space="preserve">324</w:t>
            </w:r>
          </w:p>
        </w:tc>
        <w:tc>
          <w:tcPr/>
          <w:p>
            <w:pPr>
              <w:pStyle w:val="Compact"/>
              <w:jc w:val="right"/>
            </w:pPr>
            <w:r>
              <w:rPr>
                <w:b/>
                <w:bCs/>
              </w:rPr>
              <w:t xml:space="preserve">0.406</w:t>
            </w:r>
          </w:p>
        </w:tc>
        <w:tc>
          <w:tcPr/>
          <w:p>
            <w:pPr>
              <w:pStyle w:val="Compact"/>
              <w:jc w:val="right"/>
            </w:pPr>
            <w:r>
              <w:rPr>
                <w:b/>
                <w:bCs/>
              </w:rPr>
              <w:t xml:space="preserve">8,937–10,021</w:t>
            </w:r>
          </w:p>
        </w:tc>
      </w:tr>
    </w:tbl>
    <w:p>
      <w:pPr>
        <w:pStyle w:val="BodyText"/>
      </w:pPr>
      <w:r>
        <w:rPr>
          <w:b/>
          <w:bCs/>
        </w:rPr>
        <w:t xml:space="preserve">Table 6.</w:t>
      </w:r>
      <w:r>
        <w:t xml:space="preserve"> </w:t>
      </w:r>
      <w:r>
        <w:t xml:space="preserve">Three broad-pass entry points on 3,396 withheld cross-study liver cells: the</w:t>
      </w:r>
      <w:r>
        <w:t xml:space="preserve"> </w:t>
      </w:r>
      <w:r>
        <w:t xml:space="preserve">census-built reference, the Pan-human Azimuth teacher, and the model distilled from that</w:t>
      </w:r>
      <w:r>
        <w:t xml:space="preserve"> </w:t>
      </w:r>
      <w:r>
        <w:t xml:space="preserve">teacher.</w:t>
      </w:r>
    </w:p>
    <w:p>
      <w:pPr>
        <w:pStyle w:val="BodyText"/>
      </w:pPr>
      <w:r>
        <w:t xml:space="preserve">This makes the entry point both better and ~3× faster than building it from the census</w:t>
      </w:r>
      <w:r>
        <w:t xml:space="preserve"> </w:t>
      </w:r>
      <w:r>
        <w:t xml:space="preserve">directly, and it answers in a harmonized, ontology-mapped vocabulary rather than raw census</w:t>
      </w:r>
      <w:r>
        <w:t xml:space="preserve"> </w:t>
      </w:r>
      <w:r>
        <w:t xml:space="preserve">strings. Withholding a whole atlas from the corpus, the distilled model tracks the one it</w:t>
      </w:r>
      <w:r>
        <w:t xml:space="preserve"> </w:t>
      </w:r>
      <w:r>
        <w:t xml:space="preserve">was distilled from to within</w:t>
      </w:r>
      <w:r>
        <w:t xml:space="preserve"> </w:t>
      </w:r>
      <w:r>
        <w:rPr>
          <w:b/>
          <w:bCs/>
        </w:rPr>
        <w:t xml:space="preserve">1.5 points</w:t>
      </w:r>
      <w:r>
        <w:t xml:space="preserve"> </w:t>
      </w:r>
      <w:r>
        <w:t xml:space="preserve">on lung (0.695 vs 0.710) and</w:t>
      </w:r>
      <w:r>
        <w:t xml:space="preserve"> </w:t>
      </w:r>
      <w:r>
        <w:rPr>
          <w:b/>
          <w:bCs/>
        </w:rPr>
        <w:t xml:space="preserve">3.0</w:t>
      </w:r>
      <w:r>
        <w:t xml:space="preserve"> </w:t>
      </w:r>
      <w:r>
        <w:t xml:space="preserve">on liver</w:t>
      </w:r>
      <w:r>
        <w:t xml:space="preserve"> </w:t>
      </w:r>
      <w:r>
        <w:t xml:space="preserve">(0.481 vs 0.511). Distillation itself therefore costs very little: on data neither model was</w:t>
      </w:r>
      <w:r>
        <w:t xml:space="preserve"> </w:t>
      </w:r>
      <w:r>
        <w:t xml:space="preserve">built for, the student stays within a few points of its teacher. What holds the student back</w:t>
      </w:r>
      <w:r>
        <w:t xml:space="preserve"> </w:t>
      </w:r>
      <w:r>
        <w:t xml:space="preserve">is which tissues and studies its training corpus happened to contain — widening the corpus</w:t>
      </w:r>
      <w:r>
        <w:t xml:space="preserve"> </w:t>
      </w:r>
      <w:r>
        <w:t xml:space="preserve">should move these numbers, changing the distillation procedure should not. Two caveats keep this</w:t>
      </w:r>
      <w:r>
        <w:t xml:space="preserve"> </w:t>
      </w:r>
      <w:r>
        <w:t xml:space="preserve">modest. The 0.406/0.380 ordering is one query, and both actinn-jax models draw on a census</w:t>
      </w:r>
      <w:r>
        <w:t xml:space="preserve"> </w:t>
      </w:r>
      <w:r>
        <w:t xml:space="preserve">sample that may include these studies while Pan-human Azimuth does not, so read the distilled</w:t>
      </w:r>
      <w:r>
        <w:t xml:space="preserve"> </w:t>
      </w:r>
      <w:r>
        <w:t xml:space="preserve">model as</w:t>
      </w:r>
      <w:r>
        <w:t xml:space="preserve"> </w:t>
      </w:r>
      <w:r>
        <w:rPr>
          <w:i/>
          <w:iCs/>
        </w:rPr>
        <w:t xml:space="preserve">comparable to</w:t>
      </w:r>
      <w:r>
        <w:t xml:space="preserve"> </w:t>
      </w:r>
      <w:r>
        <w:t xml:space="preserve">the one it distills rather than better. And it does</w:t>
      </w:r>
      <w:r>
        <w:t xml:space="preserve"> </w:t>
      </w:r>
      <w:r>
        <w:rPr>
          <w:b/>
          <w:bCs/>
        </w:rPr>
        <w:t xml:space="preserve">not</w:t>
      </w:r>
      <w:r>
        <w:t xml:space="preserve"> </w:t>
      </w:r>
      <w:r>
        <w:t xml:space="preserve">inherit</w:t>
      </w:r>
      <w:r>
        <w:t xml:space="preserve"> </w:t>
      </w:r>
      <w:r>
        <w:t xml:space="preserve">that model’s trained abstention: its confidence separates right from wrong poorly (keeping the 90.5% of</w:t>
      </w:r>
      <w:r>
        <w:t xml:space="preserve"> </w:t>
      </w:r>
      <w:r>
        <w:t xml:space="preserve">cells it calls with probability at least 0.5 moves concordance only 0.406 → 0.427), so the calibrated broad-pass abstain</w:t>
      </w:r>
      <w:r>
        <w:t xml:space="preserve"> </w:t>
      </w:r>
      <w:r>
        <w:t xml:space="preserve">of §3.5 belongs to the census-built reference until this one is recalibrated.</w:t>
      </w:r>
    </w:p>
    <w:p>
      <w:pPr>
        <w:pStyle w:val="BodyText"/>
      </w:pPr>
      <w:r>
        <w:rPr>
          <w:b/>
          <w:bCs/>
        </w:rPr>
        <w:t xml:space="preserve">A second organism, and a hierarchy that needs no GPU.</w:t>
      </w:r>
      <w:r>
        <w:t xml:space="preserve"> </w:t>
      </w:r>
      <w:r>
        <w:t xml:space="preserve">Neither route above</w:t>
      </w:r>
      <w:r>
        <w:t xml:space="preserve"> </w:t>
      </w:r>
      <w:r>
        <w:t xml:space="preserve">transfers to mouse: Pan-human Azimuth is human-only, so there is no teacher to distill, and</w:t>
      </w:r>
      <w:r>
        <w:t xml:space="preserve"> </w:t>
      </w:r>
      <w:r>
        <w:t xml:space="preserve">the census route wants scPRINT on a GPU with mouse support we have not tested. But the census</w:t>
      </w:r>
      <w:r>
        <w:t xml:space="preserve"> </w:t>
      </w:r>
      <w:r>
        <w:t xml:space="preserve">already labels every cell with a Cell Ontology term, and CL encodes the relation the embedding</w:t>
      </w:r>
      <w:r>
        <w:t xml:space="preserve"> </w:t>
      </w:r>
      <w:r>
        <w:t xml:space="preserve">clustering is recovering — which cell types are kinds of the same thing. Describing each type</w:t>
      </w:r>
      <w:r>
        <w:t xml:space="preserve"> </w:t>
      </w:r>
      <w:r>
        <w:t xml:space="preserve">by the CL terms it descends from and clustering</w:t>
      </w:r>
      <w:r>
        <w:t xml:space="preserve"> </w:t>
      </w:r>
      <w:r>
        <w:rPr>
          <w:i/>
          <w:iCs/>
        </w:rPr>
        <w:t xml:space="preserve">those</w:t>
      </w:r>
      <w:r>
        <w:t xml:space="preserve"> </w:t>
      </w:r>
      <w:r>
        <w:t xml:space="preserve">(same Ward linkage, ontology indicator</w:t>
      </w:r>
      <w:r>
        <w:t xml:space="preserve"> </w:t>
      </w:r>
      <w:r>
        <w:t xml:space="preserve">vectors in place of embeddings) gives a hierarchy that is free, deterministic and</w:t>
      </w:r>
      <w:r>
        <w:t xml:space="preserve"> </w:t>
      </w:r>
      <w:r>
        <w:t xml:space="preserve">species-independent.</w:t>
      </w:r>
    </w:p>
    <w:p>
      <w:pPr>
        <w:pStyle w:val="BodyText"/>
      </w:pPr>
      <w:r>
        <w:t xml:space="preserve">That substitution needs a control, since any grouping might help. Built from one human corpus</w:t>
      </w:r>
      <w:r>
        <w:t xml:space="preserve"> </w:t>
      </w:r>
      <w:r>
        <w:t xml:space="preserve">(51,346 cells / 867 types) and scored on the held-out lung atlas</w:t>
      </w:r>
      <w:r>
        <w:t xml:space="preserve"> </w:t>
      </w:r>
      <w:r>
        <w:t xml:space="preserve">(per-run</w:t>
      </w:r>
      <w:r>
        <w:t xml:space="preserve"> </w:t>
      </w:r>
      <w:r>
        <w:t xml:space="preserve">numbers in the</w:t>
      </w:r>
      <w:r>
        <w:t xml:space="preserve"> </w:t>
      </w:r>
      <w:hyperlink r:id="rId33">
        <w:r>
          <w:rPr>
            <w:rStyle w:val="Hyperlink"/>
          </w:rPr>
          <w:t xml:space="preserve">benchmark repository</w:t>
        </w:r>
      </w:hyperlink>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coarse hierarchy</w:t>
            </w:r>
          </w:p>
        </w:tc>
        <w:tc>
          <w:tcPr/>
          <w:p>
            <w:pPr>
              <w:pStyle w:val="Compact"/>
              <w:jc w:val="right"/>
            </w:pPr>
            <w:r>
              <w:t xml:space="preserve">ontology</w:t>
            </w:r>
          </w:p>
        </w:tc>
      </w:tr>
      <w:tr>
        <w:tc>
          <w:tcPr/>
          <w:p>
            <w:pPr>
              <w:pStyle w:val="Compact"/>
            </w:pPr>
            <w:r>
              <w:rPr>
                <w:b/>
                <w:bCs/>
              </w:rPr>
              <w:t xml:space="preserve">Cell Ontology lineage</w:t>
            </w:r>
          </w:p>
        </w:tc>
        <w:tc>
          <w:tcPr/>
          <w:p>
            <w:pPr>
              <w:pStyle w:val="Compact"/>
              <w:jc w:val="right"/>
            </w:pPr>
            <w:r>
              <w:rPr>
                <w:b/>
                <w:bCs/>
              </w:rPr>
              <w:t xml:space="preserve">0.616</w:t>
            </w:r>
          </w:p>
        </w:tc>
      </w:tr>
      <w:tr>
        <w:tc>
          <w:tcPr/>
          <w:p>
            <w:pPr>
              <w:pStyle w:val="Compact"/>
            </w:pPr>
            <w:r>
              <w:t xml:space="preserve">flat, no hierarchy</w:t>
            </w:r>
          </w:p>
        </w:tc>
        <w:tc>
          <w:tcPr/>
          <w:p>
            <w:pPr>
              <w:pStyle w:val="Compact"/>
              <w:jc w:val="right"/>
            </w:pPr>
            <w:r>
              <w:t xml:space="preserve">0.547</w:t>
            </w:r>
          </w:p>
        </w:tc>
      </w:tr>
      <w:tr>
        <w:tc>
          <w:tcPr/>
          <w:p>
            <w:pPr>
              <w:pStyle w:val="Compact"/>
            </w:pPr>
            <w:r>
              <w:t xml:space="preserve">random grouping, same group sizes</w:t>
            </w:r>
          </w:p>
        </w:tc>
        <w:tc>
          <w:tcPr/>
          <w:p>
            <w:pPr>
              <w:pStyle w:val="Compact"/>
              <w:jc w:val="right"/>
            </w:pPr>
            <w:r>
              <w:t xml:space="preserve">0.539</w:t>
            </w:r>
          </w:p>
        </w:tc>
      </w:tr>
    </w:tbl>
    <w:p>
      <w:pPr>
        <w:pStyle w:val="BodyText"/>
      </w:pPr>
      <w:r>
        <w:rPr>
          <w:b/>
          <w:bCs/>
        </w:rPr>
        <w:t xml:space="preserve">Table 7.</w:t>
      </w:r>
      <w:r>
        <w:t xml:space="preserve"> </w:t>
      </w:r>
      <w:r>
        <w:t xml:space="preserve">Coarse-hierarchy ablation, ordered by accuracy. Ontology concordance on the</w:t>
      </w:r>
      <w:r>
        <w:t xml:space="preserve"> </w:t>
      </w:r>
      <w:r>
        <w:t xml:space="preserve">held-out lung atlas for a Cell Ontology lineage hierarchy, no hierarchy at all, and a random</w:t>
      </w:r>
      <w:r>
        <w:t xml:space="preserve"> </w:t>
      </w:r>
      <w:r>
        <w:t xml:space="preserve">grouping with the same group sizes as the ontology one.</w:t>
      </w:r>
    </w:p>
    <w:p>
      <w:pPr>
        <w:pStyle w:val="BodyText"/>
      </w:pPr>
      <w:r>
        <w:t xml:space="preserve">Random grouping scores no better than no grouping at all (0.539 against 0.547), which rules</w:t>
      </w:r>
      <w:r>
        <w:t xml:space="preserve"> </w:t>
      </w:r>
      <w:r>
        <w:t xml:space="preserve">out the simplest explanation for the gain: that splitting 867 types into 29 smaller problems</w:t>
      </w:r>
      <w:r>
        <w:t xml:space="preserve"> </w:t>
      </w:r>
      <w:r>
        <w:t xml:space="preserve">makes each fine classifier’s job easier, something any split would do. What matters is</w:t>
      </w:r>
      <w:r>
        <w:t xml:space="preserve"> </w:t>
      </w:r>
      <w:r>
        <w:rPr>
          <w:i/>
          <w:iCs/>
        </w:rPr>
        <w:t xml:space="preserve">which</w:t>
      </w:r>
      <w:r>
        <w:t xml:space="preserve"> </w:t>
      </w:r>
      <w:r>
        <w:t xml:space="preserve">types share a group. Each group has its own fine classifier and the coarse call decides which</w:t>
      </w:r>
      <w:r>
        <w:t xml:space="preserve"> </w:t>
      </w:r>
      <w:r>
        <w:t xml:space="preserve">one ever sees the cell, so a group pays off only if the coarse classifier can recognize it</w:t>
      </w:r>
      <w:r>
        <w:t xml:space="preserve"> </w:t>
      </w:r>
      <w:r>
        <w:rPr>
          <w:i/>
          <w:iCs/>
        </w:rPr>
        <w:t xml:space="preserve">and</w:t>
      </w:r>
      <w:r>
        <w:t xml:space="preserve"> </w:t>
      </w:r>
      <w:r>
        <w:t xml:space="preserve">the right answer is inside it. Lineage groups manage both; groups of the same sizes</w:t>
      </w:r>
      <w:r>
        <w:t xml:space="preserve"> </w:t>
      </w:r>
      <w:r>
        <w:t xml:space="preserve">drawn at random manage neither.</w:t>
      </w:r>
    </w:p>
    <w:p>
      <w:pPr>
        <w:pStyle w:val="BodyText"/>
      </w:pPr>
      <w:r>
        <w:t xml:space="preserve">On that basis,</w:t>
      </w:r>
      <w:r>
        <w:t xml:space="preserve"> </w:t>
      </w:r>
      <w:r>
        <w:rPr>
          <w:rStyle w:val="VerbatimChar"/>
        </w:rPr>
        <w:t xml:space="preserve">broad_mouse_v1</w:t>
      </w:r>
      <w:r>
        <w:t xml:space="preserve">: 27,026 cells →</w:t>
      </w:r>
      <w:r>
        <w:t xml:space="preserve"> </w:t>
      </w:r>
      <w:r>
        <w:rPr>
          <w:b/>
          <w:bCs/>
        </w:rPr>
        <w:t xml:space="preserve">453 cell types across 85 tissues</w:t>
      </w:r>
      <w:r>
        <w:t xml:space="preserve">,</w:t>
      </w:r>
      <w:r>
        <w:t xml:space="preserve"> </w:t>
      </w:r>
      <w:r>
        <w:t xml:space="preserve">305 CL terms collapsed to 21 coarse groups,</w:t>
      </w:r>
      <w:r>
        <w:t xml:space="preserve"> </w:t>
      </w:r>
      <w:r>
        <w:rPr>
          <w:b/>
          <w:bCs/>
        </w:rPr>
        <w:t xml:space="preserve">17 seconds of CPU</w:t>
      </w:r>
      <w:r>
        <w:t xml:space="preserve"> </w:t>
      </w:r>
      <w:r>
        <w:t xml:space="preserve">to train, 38 MB. Two mouse</w:t>
      </w:r>
      <w:r>
        <w:t xml:space="preserve"> </w:t>
      </w:r>
      <w:r>
        <w:t xml:space="preserve">datasets were excluded from the reference entirely and used as the test set — 12,646 cells,</w:t>
      </w:r>
      <w:r>
        <w:t xml:space="preserve"> </w:t>
      </w:r>
      <w:r>
        <w:t xml:space="preserve">137 truth types, 41 tissues, none of it seen in training: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ontology</w:t>
            </w:r>
          </w:p>
        </w:tc>
        <w:tc>
          <w:tcPr/>
          <w:p>
            <w:pPr>
              <w:pStyle w:val="Compact"/>
              <w:jc w:val="right"/>
            </w:pPr>
            <w:r>
              <w:t xml:space="preserve">coverage</w:t>
            </w:r>
          </w:p>
        </w:tc>
        <w:tc>
          <w:tcPr/>
          <w:p>
            <w:pPr>
              <w:pStyle w:val="Compact"/>
              <w:jc w:val="right"/>
            </w:pPr>
            <w:r>
              <w:t xml:space="preserve">cells/s</w:t>
            </w:r>
          </w:p>
        </w:tc>
      </w:tr>
      <w:tr>
        <w:tc>
          <w:tcPr/>
          <w:p>
            <w:pPr>
              <w:pStyle w:val="Compact"/>
            </w:pPr>
            <w:r>
              <w:t xml:space="preserve">all cells</w:t>
            </w:r>
          </w:p>
        </w:tc>
        <w:tc>
          <w:tcPr/>
          <w:p>
            <w:pPr>
              <w:pStyle w:val="Compact"/>
              <w:jc w:val="right"/>
            </w:pPr>
            <w:r>
              <w:t xml:space="preserve">0.638</w:t>
            </w:r>
          </w:p>
        </w:tc>
        <w:tc>
          <w:tcPr/>
          <w:p>
            <w:pPr>
              <w:pStyle w:val="Compact"/>
              <w:jc w:val="right"/>
            </w:pPr>
            <w:r>
              <w:t xml:space="preserve">100%</w:t>
            </w:r>
          </w:p>
        </w:tc>
        <w:tc>
          <w:tcPr/>
          <w:p>
            <w:pPr>
              <w:pStyle w:val="Compact"/>
              <w:jc w:val="right"/>
            </w:pPr>
            <w:r>
              <w:t xml:space="preserve">9,712</w:t>
            </w:r>
          </w:p>
        </w:tc>
      </w:tr>
      <w:tr>
        <w:tc>
          <w:tcPr/>
          <w:p>
            <w:pPr>
              <w:pStyle w:val="Compact"/>
            </w:pPr>
            <w:r>
              <w:t xml:space="preserve">confidence ≥ 0.5</w:t>
            </w:r>
          </w:p>
        </w:tc>
        <w:tc>
          <w:tcPr/>
          <w:p>
            <w:pPr>
              <w:pStyle w:val="Compact"/>
              <w:jc w:val="right"/>
            </w:pPr>
            <w:r>
              <w:rPr>
                <w:b/>
                <w:bCs/>
              </w:rPr>
              <w:t xml:space="preserve">0.718</w:t>
            </w:r>
          </w:p>
        </w:tc>
        <w:tc>
          <w:tcPr/>
          <w:p>
            <w:pPr>
              <w:pStyle w:val="Compact"/>
              <w:jc w:val="right"/>
            </w:pPr>
            <w:r>
              <w:t xml:space="preserve">71%</w:t>
            </w:r>
          </w:p>
        </w:tc>
        <w:tc>
          <w:tcPr/>
          <w:p>
            <w:pPr>
              <w:pStyle w:val="Compact"/>
            </w:pPr>
          </w:p>
        </w:tc>
      </w:tr>
    </w:tbl>
    <w:p>
      <w:pPr>
        <w:pStyle w:val="BodyText"/>
      </w:pPr>
      <w:r>
        <w:rPr>
          <w:b/>
          <w:bCs/>
        </w:rPr>
        <w:t xml:space="preserve">Table 8.</w:t>
      </w:r>
      <w:r>
        <w:t xml:space="preserve"> </w:t>
      </w:r>
      <w:r>
        <w:rPr>
          <w:rStyle w:val="VerbatimChar"/>
        </w:rPr>
        <w:t xml:space="preserve">broad_mouse_v1</w:t>
      </w:r>
      <w:r>
        <w:t xml:space="preserve"> </w:t>
      </w:r>
      <w:r>
        <w:t xml:space="preserve">on 12,646 held-out mouse cells (137 truth types, 41 tissues, none</w:t>
      </w:r>
      <w:r>
        <w:t xml:space="preserve"> </w:t>
      </w:r>
      <w:r>
        <w:t xml:space="preserve">of it in the reference), with and without abstain.</w:t>
      </w:r>
    </w:p>
    <w:p>
      <w:pPr>
        <w:pStyle w:val="BodyText"/>
      </w:pPr>
      <w:r>
        <w:t xml:space="preserve">Its abstain calibration is also better behaved than the human census model’s — 0.88 accuracy</w:t>
      </w:r>
      <w:r>
        <w:t xml:space="preserve"> </w:t>
      </w:r>
      <w:r>
        <w:t xml:space="preserve">at 82% coverage, against 0.80 at 46% — because mouse census carries fewer near-duplicate</w:t>
      </w:r>
      <w:r>
        <w:t xml:space="preserve"> </w:t>
      </w:r>
      <w:r>
        <w:t xml:space="preserve">subtypes than human’s ~800-way vocabulary. Read across organisms with care: these are</w:t>
      </w:r>
      <w:r>
        <w:t xml:space="preserve"> </w:t>
      </w:r>
      <w:r>
        <w:t xml:space="preserve">different queries, so the mouse numbers sit in the same regime as the human ones rather than</w:t>
      </w:r>
      <w:r>
        <w:t xml:space="preserve"> </w:t>
      </w:r>
      <w:r>
        <w:t xml:space="preserve">being comparable to them. Two limits apply. The ablation above was run</w:t>
      </w:r>
      <w:r>
        <w:t xml:space="preserve"> </w:t>
      </w:r>
      <w:r>
        <w:t xml:space="preserve">on</w:t>
      </w:r>
      <w:r>
        <w:t xml:space="preserve"> </w:t>
      </w:r>
      <w:r>
        <w:rPr>
          <w:b/>
          <w:bCs/>
        </w:rPr>
        <w:t xml:space="preserve">human</w:t>
      </w:r>
      <w:r>
        <w:t xml:space="preserve"> </w:t>
      </w:r>
      <w:r>
        <w:t xml:space="preserve">and applied to mouse; CL is species-neutral by construction, but nothing here</w:t>
      </w:r>
      <w:r>
        <w:t xml:space="preserve"> </w:t>
      </w:r>
      <w:r>
        <w:t xml:space="preserve">shows it groups mouse types as well. And mouse census is shallow in</w:t>
      </w:r>
      <w:r>
        <w:t xml:space="preserve"> </w:t>
      </w:r>
      <w:r>
        <w:rPr>
          <w:i/>
          <w:iCs/>
        </w:rPr>
        <w:t xml:space="preserve">datasets</w:t>
      </w:r>
      <w:r>
        <w:t xml:space="preserve"> </w:t>
      </w:r>
      <w:r>
        <w:t xml:space="preserve">— 51 in total,</w:t>
      </w:r>
      <w:r>
        <w:t xml:space="preserve"> </w:t>
      </w:r>
      <w:r>
        <w:t xml:space="preserve">one embryo atlas holding 11.4M of 18.4M cells — so tissue breadth is good while lab and</w:t>
      </w:r>
      <w:r>
        <w:t xml:space="preserve"> </w:t>
      </w:r>
      <w:r>
        <w:t xml:space="preserve">protocol breadth is far below human’s 487 datasets (S10).</w:t>
      </w:r>
    </w:p>
    <w:p>
      <w:pPr>
        <w:pStyle w:val="BodyText"/>
      </w:pPr>
      <w:r>
        <w:rPr>
          <w:b/>
          <w:bCs/>
        </w:rPr>
        <w:t xml:space="preserve">The focused pass — tissue-specific.</w:t>
      </w:r>
      <w:r>
        <w:t xml:space="preserve"> </w:t>
      </w:r>
      <w:r>
        <w:t xml:space="preserve">For the tissue the broad pass identifies, a small</w:t>
      </w:r>
      <w:r>
        <w:t xml:space="preserve"> </w:t>
      </w:r>
      <w:r>
        <w:t xml:space="preserve">focused reference re-annotates at full resolution. The gain is large and it is the crux of</w:t>
      </w:r>
      <w:r>
        <w:t xml:space="preserve"> </w:t>
      </w:r>
      <w:r>
        <w:t xml:space="preserve">the workflow: on held-out</w:t>
      </w:r>
      <w:r>
        <w:t xml:space="preserve"> </w:t>
      </w:r>
      <w:r>
        <w:rPr>
          <w:b/>
          <w:bCs/>
        </w:rPr>
        <w:t xml:space="preserve">cross-study</w:t>
      </w:r>
      <w:r>
        <w:t xml:space="preserve"> </w:t>
      </w:r>
      <w:r>
        <w:t xml:space="preserve">liver cells, the broad census model scores</w:t>
      </w:r>
      <w:r>
        <w:t xml:space="preserve"> </w:t>
      </w:r>
      <w:r>
        <w:t xml:space="preserve">exact-CL</w:t>
      </w:r>
      <w:r>
        <w:t xml:space="preserve"> </w:t>
      </w:r>
      <w:r>
        <w:rPr>
          <w:b/>
          <w:bCs/>
        </w:rPr>
        <w:t xml:space="preserve">0.23</w:t>
      </w:r>
      <w:r>
        <w:t xml:space="preserve"> </w:t>
      </w:r>
      <w:r>
        <w:t xml:space="preserve">/ ontology</w:t>
      </w:r>
      <w:r>
        <w:t xml:space="preserve"> </w:t>
      </w:r>
      <w:r>
        <w:rPr>
          <w:b/>
          <w:bCs/>
        </w:rPr>
        <w:t xml:space="preserve">0.58</w:t>
      </w:r>
      <w:r>
        <w:t xml:space="preserve">, while a focused</w:t>
      </w:r>
      <w:r>
        <w:t xml:space="preserve"> </w:t>
      </w:r>
      <w:r>
        <w:rPr>
          <w:b/>
          <w:bCs/>
        </w:rPr>
        <w:t xml:space="preserve">48-type HLiCA liver</w:t>
      </w:r>
      <w:r>
        <w:t xml:space="preserve"> </w:t>
      </w:r>
      <w:r>
        <w:t xml:space="preserve">reference on</w:t>
      </w:r>
      <w:r>
        <w:t xml:space="preserve"> </w:t>
      </w:r>
      <w:r>
        <w:t xml:space="preserve">the</w:t>
      </w:r>
      <w:r>
        <w:t xml:space="preserve"> </w:t>
      </w:r>
      <w:r>
        <w:rPr>
          <w:i/>
          <w:iCs/>
        </w:rPr>
        <w:t xml:space="preserve">same cells</w:t>
      </w:r>
      <w:r>
        <w:t xml:space="preserve"> </w:t>
      </w:r>
      <w:r>
        <w:t xml:space="preserve">reaches</w:t>
      </w:r>
      <w:r>
        <w:t xml:space="preserve"> </w:t>
      </w:r>
      <w:r>
        <w:rPr>
          <w:b/>
          <w:bCs/>
        </w:rPr>
        <w:t xml:space="preserve">0.72 / 0.86</w:t>
      </w:r>
      <w:r>
        <w:t xml:space="preserve"> </w:t>
      </w:r>
      <w:r>
        <w:t xml:space="preserve">(S11,</w:t>
      </w:r>
      <w:r>
        <w:t xml:space="preserve"> </w:t>
      </w:r>
      <w:r>
        <w:t xml:space="preserve">S12). Refinement is where fine-grained accuracy comes</w:t>
      </w:r>
      <w:r>
        <w:t xml:space="preserve"> </w:t>
      </w:r>
      <w:r>
        <w:t xml:space="preserve">from; the broad model’s job is to route to it, not to be right about subtypes itself.</w:t>
      </w:r>
    </w:p>
    <w:p>
      <w:pPr>
        <w:pStyle w:val="BodyText"/>
      </w:pPr>
      <w:r>
        <w:rPr>
          <w:b/>
          <w:bCs/>
        </w:rPr>
        <w:t xml:space="preserve">The broad pass hands the query to the focused pass; the two do not combine.</w:t>
      </w:r>
      <w:r>
        <w:t xml:space="preserve"> </w:t>
      </w:r>
      <w:r>
        <w:t xml:space="preserve">The natural</w:t>
      </w:r>
      <w:r>
        <w:t xml:space="preserve"> </w:t>
      </w:r>
      <w:r>
        <w:t xml:space="preserve">assumption is that a better broad call should also make the focused call better. It does not.</w:t>
      </w:r>
      <w:r>
        <w:t xml:space="preserve"> </w:t>
      </w:r>
      <w:r>
        <w:t xml:space="preserve">On the leakage-free cross-study</w:t>
      </w:r>
      <w:r>
        <w:t xml:space="preserve"> </w:t>
      </w:r>
      <w:r>
        <w:t xml:space="preserve">liver split, substituting the stronger</w:t>
      </w:r>
      <w:r>
        <w:t xml:space="preserve"> </w:t>
      </w:r>
      <w:r>
        <w:rPr>
          <w:b/>
          <w:bCs/>
        </w:rPr>
        <w:t xml:space="preserve">Pan-human Azimuth</w:t>
      </w:r>
      <w:r>
        <w:t xml:space="preserve"> </w:t>
      </w:r>
      <w:r>
        <w:t xml:space="preserve">for the broad pass lifts it</w:t>
      </w:r>
      <w:r>
        <w:t xml:space="preserve"> </w:t>
      </w:r>
      <w:r>
        <w:t xml:space="preserve">(ontology 0.380 vs 0.338 for our own broad model) but changes nothing downstream. Using that</w:t>
      </w:r>
      <w:r>
        <w:t xml:space="preserve"> </w:t>
      </w:r>
      <w:r>
        <w:t xml:space="preserve">broad call to</w:t>
      </w:r>
      <w:r>
        <w:t xml:space="preserve"> </w:t>
      </w:r>
      <w:r>
        <w:rPr>
          <w:i/>
          <w:iCs/>
        </w:rPr>
        <w:t xml:space="preserve">narrow</w:t>
      </w:r>
      <w:r>
        <w:t xml:space="preserve"> </w:t>
      </w:r>
      <w:r>
        <w:t xml:space="preserve">the focused pass’s classes — the zero-retrain masking actinn-jax ships — makes</w:t>
      </w:r>
      <w:r>
        <w:t xml:space="preserve"> </w:t>
      </w:r>
      <w:r>
        <w:t xml:space="preserve">the result</w:t>
      </w:r>
      <w:r>
        <w:t xml:space="preserve"> </w:t>
      </w:r>
      <w:r>
        <w:rPr>
          <w:b/>
          <w:bCs/>
        </w:rPr>
        <w:t xml:space="preserve">worse</w:t>
      </w:r>
      <w:r>
        <w:t xml:space="preserve">, 0.731 → 0.708: the broad call matches the true lineage on 85.8%</w:t>
      </w:r>
      <w:r>
        <w:t xml:space="preserve"> </w:t>
      </w:r>
      <w:r>
        <w:t xml:space="preserve">of cells, and the 14% it misses cost more than the 86% it gets right can gain, since a wrong</w:t>
      </w:r>
      <w:r>
        <w:t xml:space="preserve"> </w:t>
      </w:r>
      <w:r>
        <w:t xml:space="preserve">mask discards the correct class outright. A</w:t>
      </w:r>
      <w:r>
        <w:t xml:space="preserve"> </w:t>
      </w:r>
      <w:r>
        <w:rPr>
          <w:b/>
          <w:bCs/>
        </w:rPr>
        <w:t xml:space="preserve">perfect</w:t>
      </w:r>
      <w:r>
        <w:t xml:space="preserve"> </w:t>
      </w:r>
      <w:r>
        <w:t xml:space="preserve">coarse call would add only</w:t>
      </w:r>
      <w:r>
        <w:t xml:space="preserve"> </w:t>
      </w:r>
      <w:r>
        <w:rPr>
          <w:b/>
          <w:bCs/>
        </w:rPr>
        <w:t xml:space="preserve">+2.8</w:t>
      </w:r>
      <w:r>
        <w:rPr>
          <w:b/>
          <w:bCs/>
        </w:rPr>
        <w:t xml:space="preserve"> </w:t>
      </w:r>
      <w:r>
        <w:rPr>
          <w:b/>
          <w:bCs/>
        </w:rPr>
        <w:t xml:space="preserve">points</w:t>
      </w:r>
      <w:r>
        <w:t xml:space="preserve"> </w:t>
      </w:r>
      <w:r>
        <w:t xml:space="preserve">(0.759). Once the focused pass covers the tissue, there is almost no accuracy left for a broad</w:t>
      </w:r>
      <w:r>
        <w:t xml:space="preserve"> </w:t>
      </w:r>
      <w:r>
        <w:t xml:space="preserve">model to contribute; its value is choosing which focused reference to load and covering cells</w:t>
      </w:r>
      <w:r>
        <w:t xml:space="preserve"> </w:t>
      </w:r>
      <w:r>
        <w:t xml:space="preserve">none of them claims (S13).</w:t>
      </w:r>
    </w:p>
    <w:p>
      <w:pPr>
        <w:pStyle w:val="BodyText"/>
      </w:pPr>
      <w:r>
        <w:rPr>
          <w:b/>
          <w:bCs/>
        </w:rPr>
        <w:t xml:space="preserve">Supporting mechanisms.</w:t>
      </w:r>
      <w:r>
        <w:t xml:space="preserve"> </w:t>
      </w:r>
      <w:r>
        <w:t xml:space="preserve">(i) A</w:t>
      </w:r>
      <w:r>
        <w:t xml:space="preserve"> </w:t>
      </w:r>
      <w:r>
        <w:rPr>
          <w:b/>
          <w:bCs/>
        </w:rPr>
        <w:t xml:space="preserve">foundation-model-guided coarse→fine hierarchy</w:t>
      </w:r>
      <w:r>
        <w:t xml:space="preserve"> </w:t>
      </w:r>
      <w:r>
        <w:t xml:space="preserve">(S14, S15): a foundation model discovers</w:t>
      </w:r>
      <w:r>
        <w:t xml:space="preserve"> </w:t>
      </w:r>
      <w:r>
        <w:t xml:space="preserve">a coarse→fine structure</w:t>
      </w:r>
      <w:r>
        <w:t xml:space="preserve"> </w:t>
      </w:r>
      <w:r>
        <w:rPr>
          <w:i/>
          <w:iCs/>
        </w:rPr>
        <w:t xml:space="preserve">offline</w:t>
      </w:r>
      <w:r>
        <w:t xml:space="preserve">, the fast CPU model uses it at inference — beats a flat</w:t>
      </w:r>
      <w:r>
        <w:t xml:space="preserve"> </w:t>
      </w:r>
      <w:r>
        <w:t xml:space="preserve">classifier on 3/4 datasets, matches an expert hierarchy, beats a random-grouping control,</w:t>
      </w:r>
      <w:r>
        <w:t xml:space="preserve"> </w:t>
      </w:r>
      <w:r>
        <w:t xml:space="preserve">and never depends on the foundation model at prediction time. (ii)</w:t>
      </w:r>
      <w:r>
        <w:t xml:space="preserve"> </w:t>
      </w:r>
      <w:r>
        <w:rPr>
          <w:b/>
          <w:bCs/>
        </w:rPr>
        <w:t xml:space="preserve">Within-cell-type</w:t>
      </w:r>
      <w:r>
        <w:rPr>
          <w:b/>
          <w:bCs/>
        </w:rPr>
        <w:t xml:space="preserve"> </w:t>
      </w:r>
      <w:r>
        <w:rPr>
          <w:b/>
          <w:bCs/>
        </w:rPr>
        <w:t xml:space="preserve">resolution</w:t>
      </w:r>
      <w:r>
        <w:t xml:space="preserve">: the same machinery resolves hepatocyte zonation (portal→central) at ~0.99</w:t>
      </w:r>
      <w:r>
        <w:t xml:space="preserve"> </w:t>
      </w:r>
      <w:r>
        <w:t xml:space="preserve">within-one-zone, generalizing across donors and datasets (S7) — a</w:t>
      </w:r>
      <w:r>
        <w:t xml:space="preserve"> </w:t>
      </w:r>
      <w:r>
        <w:t xml:space="preserve">third stage below the cell-type label. Together these make actinn-jax a</w:t>
      </w:r>
      <w:r>
        <w:t xml:space="preserve"> </w:t>
      </w:r>
      <w:r>
        <w:rPr>
          <w:i/>
          <w:iCs/>
        </w:rPr>
        <w:t xml:space="preserve">pipeline</w:t>
      </w:r>
      <w:r>
        <w:t xml:space="preserve"> </w:t>
      </w:r>
      <w:r>
        <w:t xml:space="preserve">(broad →</w:t>
      </w:r>
      <w:r>
        <w:t xml:space="preserve"> </w:t>
      </w:r>
      <w:r>
        <w:t xml:space="preserve">tissue → subtype/state), not just a classifier, at classical-method speed throughout.</w:t>
      </w:r>
    </w:p>
    <w:bookmarkEnd w:id="59"/>
    <w:bookmarkStart w:id="60" w:name="rejection-abstain"/>
    <w:p>
      <w:pPr>
        <w:pStyle w:val="Heading2"/>
      </w:pPr>
      <w:r>
        <w:t xml:space="preserve">Rejection / abstain</w:t>
      </w:r>
    </w:p>
    <w:p>
      <w:pPr>
        <w:pStyle w:val="FirstParagraph"/>
      </w:pPr>
      <w:r>
        <w:t xml:space="preserve">Holding out 9 of 36 cell types entirely from the HLiCA liver reference (so 1,350 query</w:t>
      </w:r>
      <w:r>
        <w:t xml:space="preserve"> </w:t>
      </w:r>
      <w:r>
        <w:t xml:space="preserve">cells are genuinely out-of-distribution), and sweeping a confidence threshold: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threshold</w:t>
            </w:r>
          </w:p>
        </w:tc>
        <w:tc>
          <w:tcPr/>
          <w:p>
            <w:pPr>
              <w:pStyle w:val="Compact"/>
            </w:pPr>
            <w:r>
              <w:t xml:space="preserve">actinn-jax: acc(kept) / coverage / OOD-flagged</w:t>
            </w:r>
          </w:p>
        </w:tc>
        <w:tc>
          <w:tcPr/>
          <w:p>
            <w:pPr>
              <w:pStyle w:val="Compact"/>
            </w:pPr>
            <w:r>
              <w:t xml:space="preserve">CellTypist: acc(kept) / coverage / OOD-flagged</w:t>
            </w:r>
          </w:p>
        </w:tc>
      </w:tr>
      <w:tr>
        <w:tc>
          <w:tcPr/>
          <w:p>
            <w:pPr>
              <w:pStyle w:val="Compact"/>
            </w:pPr>
            <w:r>
              <w:t xml:space="preserve">0.0</w:t>
            </w:r>
          </w:p>
        </w:tc>
        <w:tc>
          <w:tcPr/>
          <w:p>
            <w:pPr>
              <w:pStyle w:val="Compact"/>
            </w:pPr>
            <w:r>
              <w:t xml:space="preserve">0.885 / 1.00 / 0.00</w:t>
            </w:r>
          </w:p>
        </w:tc>
        <w:tc>
          <w:tcPr/>
          <w:p>
            <w:pPr>
              <w:pStyle w:val="Compact"/>
            </w:pPr>
            <w:r>
              <w:t xml:space="preserve">0.873 / 1.00 / 0.00</w:t>
            </w:r>
          </w:p>
        </w:tc>
      </w:tr>
      <w:tr>
        <w:tc>
          <w:tcPr/>
          <w:p>
            <w:pPr>
              <w:pStyle w:val="Compact"/>
            </w:pPr>
            <w:r>
              <w:t xml:space="preserve">0.5</w:t>
            </w:r>
          </w:p>
        </w:tc>
        <w:tc>
          <w:tcPr/>
          <w:p>
            <w:pPr>
              <w:pStyle w:val="Compact"/>
            </w:pPr>
            <w:r>
              <w:t xml:space="preserve">0.919 / 0.93 / 0.30</w:t>
            </w:r>
          </w:p>
        </w:tc>
        <w:tc>
          <w:tcPr/>
          <w:p>
            <w:pPr>
              <w:pStyle w:val="Compact"/>
            </w:pPr>
            <w:r>
              <w:t xml:space="preserve">0.936 / 0.68 / 0.68</w:t>
            </w:r>
          </w:p>
        </w:tc>
      </w:tr>
      <w:tr>
        <w:tc>
          <w:tcPr/>
          <w:p>
            <w:pPr>
              <w:pStyle w:val="Compact"/>
            </w:pPr>
            <w:r>
              <w:t xml:space="preserve">0.7</w:t>
            </w:r>
          </w:p>
        </w:tc>
        <w:tc>
          <w:tcPr/>
          <w:p>
            <w:pPr>
              <w:pStyle w:val="Compact"/>
            </w:pPr>
            <w:r>
              <w:t xml:space="preserve">0.946 / 0.84 / 0.52</w:t>
            </w:r>
          </w:p>
        </w:tc>
        <w:tc>
          <w:tcPr/>
          <w:p>
            <w:pPr>
              <w:pStyle w:val="Compact"/>
            </w:pPr>
            <w:r>
              <w:t xml:space="preserve">0.936 / 0.68 / 0.68</w:t>
            </w:r>
          </w:p>
        </w:tc>
      </w:tr>
      <w:tr>
        <w:tc>
          <w:tcPr/>
          <w:p>
            <w:pPr>
              <w:pStyle w:val="Compact"/>
            </w:pPr>
            <w:r>
              <w:t xml:space="preserve">0.9</w:t>
            </w:r>
          </w:p>
        </w:tc>
        <w:tc>
          <w:tcPr/>
          <w:p>
            <w:pPr>
              <w:pStyle w:val="Compact"/>
            </w:pPr>
            <w:r>
              <w:t xml:space="preserve">0.969 / 0.66 / 0.73</w:t>
            </w:r>
          </w:p>
        </w:tc>
        <w:tc>
          <w:tcPr/>
          <w:p>
            <w:pPr>
              <w:pStyle w:val="Compact"/>
            </w:pPr>
            <w:r>
              <w:t xml:space="preserve">0.937 / 0.68 / 0.68</w:t>
            </w:r>
          </w:p>
        </w:tc>
      </w:tr>
    </w:tbl>
    <w:p>
      <w:pPr>
        <w:pStyle w:val="BodyText"/>
      </w:pPr>
      <w:r>
        <w:rPr>
          <w:b/>
          <w:bCs/>
        </w:rPr>
        <w:t xml:space="preserve">Table 9.</w:t>
      </w:r>
      <w:r>
        <w:t xml:space="preserve"> </w:t>
      </w:r>
      <w:r>
        <w:t xml:space="preserve">Confidence-threshold sweep with 9 of 36 cell types held out of the liver reference,</w:t>
      </w:r>
      <w:r>
        <w:t xml:space="preserve"> </w:t>
      </w:r>
      <w:r>
        <w:t xml:space="preserve">so 1,350 query cells are genuinely out-of-distribution. Each cell reads accuracy on kept cells /</w:t>
      </w:r>
      <w:r>
        <w:t xml:space="preserve"> </w:t>
      </w:r>
      <w:r>
        <w:t xml:space="preserve">fraction of cells kept / fraction of held-out-type cells flagged.</w:t>
      </w:r>
    </w:p>
    <w:p>
      <w:pPr>
        <w:pStyle w:val="BodyText"/>
      </w:pPr>
      <w:r>
        <w:t xml:space="preserve">actinn-jax’s probability gives a</w:t>
      </w:r>
      <w:r>
        <w:t xml:space="preserve"> </w:t>
      </w:r>
      <w:r>
        <w:rPr>
          <w:b/>
          <w:bCs/>
        </w:rPr>
        <w:t xml:space="preserve">smooth, tunable</w:t>
      </w:r>
      <w:r>
        <w:t xml:space="preserve"> </w:t>
      </w:r>
      <w:r>
        <w:t xml:space="preserve">abstain curve — accuracy on kept cells</w:t>
      </w:r>
      <w:r>
        <w:t xml:space="preserve"> </w:t>
      </w:r>
      <w:r>
        <w:t xml:space="preserve">rises 0.885→0.969 as coverage falls 1.00→0.66 and OOD-flagging climbs 0.00→0.73 — so a user</w:t>
      </w:r>
      <w:r>
        <w:t xml:space="preserve"> </w:t>
      </w:r>
      <w:r>
        <w:t xml:space="preserve">can dial the precision/coverage/novel-cell-detection trade-off. CellTypist’s probabilities</w:t>
      </w:r>
      <w:r>
        <w:t xml:space="preserve"> </w:t>
      </w:r>
      <w:r>
        <w:t xml:space="preserve">are</w:t>
      </w:r>
      <w:r>
        <w:t xml:space="preserve"> </w:t>
      </w:r>
      <w:r>
        <w:rPr>
          <w:b/>
          <w:bCs/>
        </w:rPr>
        <w:t xml:space="preserve">saturated</w:t>
      </w:r>
      <w:r>
        <w:t xml:space="preserve"> </w:t>
      </w:r>
      <w:r>
        <w:t xml:space="preserve">(near 0 or 1): the threshold jumps to 68% OOD-flagged at 0.5 and then does</w:t>
      </w:r>
      <w:r>
        <w:t xml:space="preserve"> </w:t>
      </w:r>
      <w:r>
        <w:t xml:space="preserve">not move across 0.5–0.9, giving essentially one operating point rather than a tunable curve.</w:t>
      </w:r>
      <w:r>
        <w:t xml:space="preserve"> </w:t>
      </w:r>
      <w:r>
        <w:t xml:space="preserve">scmap-cluster offers a single native</w:t>
      </w:r>
      <w:r>
        <w:t xml:space="preserve"> </w:t>
      </w:r>
      <w:r>
        <w:t xml:space="preserve">“unassigned”</w:t>
      </w:r>
      <w:r>
        <w:t xml:space="preserve"> </w:t>
      </w:r>
      <w:r>
        <w:t xml:space="preserve">decision (no sweep). A tunable threshold is</w:t>
      </w:r>
      <w:r>
        <w:t xml:space="preserve"> </w:t>
      </w:r>
      <w:r>
        <w:t xml:space="preserve">what makes the abstain step usable as a routing decision in the workflow of §3.4.</w:t>
      </w:r>
    </w:p>
    <w:bookmarkEnd w:id="60"/>
    <w:bookmarkStart w:id="61" w:name="foundation-model-zero-shot-scprint"/>
    <w:p>
      <w:pPr>
        <w:pStyle w:val="Heading2"/>
      </w:pPr>
      <w:r>
        <w:t xml:space="preserve">Foundation-model zero-shot (scPRINT)</w:t>
      </w:r>
    </w:p>
    <w:p>
      <w:pPr>
        <w:pStyle w:val="FirstParagraph"/>
      </w:pPr>
      <w:r>
        <w:t xml:space="preserve">scPRINT is run separately as a zero-shot predictor (no training on the reference), as a</w:t>
      </w:r>
      <w:r>
        <w:t xml:space="preserve"> </w:t>
      </w:r>
      <w:r>
        <w:t xml:space="preserve">reference point for the</w:t>
      </w:r>
      <w:r>
        <w:t xml:space="preserve"> </w:t>
      </w:r>
      <w:r>
        <w:t xml:space="preserve">“just use a foundation model”</w:t>
      </w:r>
      <w:r>
        <w:t xml:space="preserve"> </w:t>
      </w:r>
      <w:r>
        <w:t xml:space="preserve">alternative. On the lung dataset it</w:t>
      </w:r>
      <w:r>
        <w:t xml:space="preserve"> </w:t>
      </w:r>
      <w:r>
        <w:t xml:space="preserve">scored</w:t>
      </w:r>
      <w:r>
        <w:t xml:space="preserve"> </w:t>
      </w:r>
      <w:r>
        <w:rPr>
          <w:b/>
          <w:bCs/>
        </w:rPr>
        <w:t xml:space="preserve">exact accuracy 0.029 / ontology concordance 0.201, taking 62 s for 2,694 query</w:t>
      </w:r>
      <w:r>
        <w:rPr>
          <w:b/>
          <w:bCs/>
        </w:rPr>
        <w:t xml:space="preserve"> </w:t>
      </w:r>
      <w:r>
        <w:rPr>
          <w:b/>
          <w:bCs/>
        </w:rPr>
        <w:t xml:space="preserve">cells</w:t>
      </w:r>
      <w:r>
        <w:t xml:space="preserve"> </w:t>
      </w:r>
      <w:r>
        <w:t xml:space="preserve">— against actinn-jax’s 0.894 in 0.23 s — so as a</w:t>
      </w:r>
      <w:r>
        <w:t xml:space="preserve"> </w:t>
      </w:r>
      <w:r>
        <w:rPr>
          <w:i/>
          <w:iCs/>
        </w:rPr>
        <w:t xml:space="preserve">label</w:t>
      </w:r>
      <w:r>
        <w:t xml:space="preserve"> </w:t>
      </w:r>
      <w:r>
        <w:t xml:space="preserve">predictor it is both slow</w:t>
      </w:r>
      <w:r>
        <w:t xml:space="preserve"> </w:t>
      </w:r>
      <w:r>
        <w:t xml:space="preserve">(</w:t>
      </w:r>
      <w:r>
        <w:rPr>
          <w:b/>
          <w:bCs/>
        </w:rPr>
        <w:t xml:space="preserve">~280×</w:t>
      </w:r>
      <w:r>
        <w:t xml:space="preserve"> </w:t>
      </w:r>
      <w:r>
        <w:t xml:space="preserve">actinn-jax) and weak. It is reported on lung alone because its fixed vocabulary</w:t>
      </w:r>
      <w:r>
        <w:t xml:space="preserve"> </w:t>
      </w:r>
      <w:r>
        <w:t xml:space="preserve">cannot score the other datasets: the liver and blood+gut sets contain Cell Ontology terms</w:t>
      </w:r>
      <w:r>
        <w:t xml:space="preserve"> </w:t>
      </w:r>
      <w:r>
        <w:t xml:space="preserve">absent from its label set, and it declines them rather than guessing. Its pretrained classifier head also carries a</w:t>
      </w:r>
      <w:r>
        <w:t xml:space="preserve"> </w:t>
      </w:r>
      <w:r>
        <w:rPr>
          <w:b/>
          <w:bCs/>
        </w:rPr>
        <w:t xml:space="preserve">fixed label vocabulary</w:t>
      </w:r>
      <w:r>
        <w:t xml:space="preserve"> </w:t>
      </w:r>
      <w:r>
        <w:t xml:space="preserve">and</w:t>
      </w:r>
      <w:r>
        <w:t xml:space="preserve"> </w:t>
      </w:r>
      <w:r>
        <w:t xml:space="preserve">requires CL ids, so it cannot emit labels outside that set; this is an inherent property of</w:t>
      </w:r>
      <w:r>
        <w:t xml:space="preserve"> </w:t>
      </w:r>
      <w:r>
        <w:t xml:space="preserve">a zero-shot label head, not a defect, but it means the foundation model’s raw predictions</w:t>
      </w:r>
      <w:r>
        <w:t xml:space="preserve"> </w:t>
      </w:r>
      <w:r>
        <w:t xml:space="preserve">are not a drop-in annotator. This is exactly why our two-stage workflow</w:t>
      </w:r>
      <w:r>
        <w:t xml:space="preserve"> </w:t>
      </w:r>
      <w:r>
        <w:t xml:space="preserve">(S14) uses scPRINT’s</w:t>
      </w:r>
      <w:r>
        <w:t xml:space="preserve"> </w:t>
      </w:r>
      <w:r>
        <w:rPr>
          <w:b/>
          <w:bCs/>
        </w:rPr>
        <w:t xml:space="preserve">embeddings</w:t>
      </w:r>
      <w:r>
        <w:t xml:space="preserve"> </w:t>
      </w:r>
      <w:r>
        <w:t xml:space="preserve">— its learned structure — to</w:t>
      </w:r>
      <w:r>
        <w:t xml:space="preserve"> </w:t>
      </w:r>
      <w:r>
        <w:t xml:space="preserve">shape a small trained model, never its zero-shot labels: the foundation model is valuable,</w:t>
      </w:r>
      <w:r>
        <w:t xml:space="preserve"> </w:t>
      </w:r>
      <w:r>
        <w:t xml:space="preserve">its raw label predictions are not.</w:t>
      </w:r>
    </w:p>
    <w:bookmarkEnd w:id="61"/>
    <w:bookmarkStart w:id="70" w:name="X073cf3caac1f6b108657735a42ae0c9978dc036"/>
    <w:p>
      <w:pPr>
        <w:pStyle w:val="Heading2"/>
      </w:pPr>
      <w:r>
        <w:t xml:space="preserve">External validation: Open Problems</w:t>
      </w:r>
      <w:r>
        <w:t xml:space="preserve"> </w:t>
      </w:r>
      <w:r>
        <w:rPr>
          <w:rStyle w:val="VerbatimChar"/>
        </w:rPr>
        <w:t xml:space="preserve">label_projection</w:t>
      </w:r>
    </w:p>
    <w:p>
      <w:pPr>
        <w:pStyle w:val="FirstParagraph"/>
      </w:pPr>
      <w:r>
        <w:t xml:space="preserve">Our in-house benchmark is neutral but self-run. For an</w:t>
      </w:r>
      <w:r>
        <w:t xml:space="preserve"> </w:t>
      </w:r>
      <w:r>
        <w:rPr>
          <w:b/>
          <w:bCs/>
        </w:rPr>
        <w:t xml:space="preserve">independent</w:t>
      </w:r>
      <w:r>
        <w:t xml:space="preserve"> </w:t>
      </w:r>
      <w:r>
        <w:t xml:space="preserve">check, we ran</w:t>
      </w:r>
      <w:r>
        <w:t xml:space="preserve"> </w:t>
      </w:r>
      <w:r>
        <w:t xml:space="preserve">actinn-jax through the community-standard</w:t>
      </w:r>
      <w:r>
        <w:t xml:space="preserve"> </w:t>
      </w:r>
      <w:hyperlink r:id="rId62">
        <w:r>
          <w:rPr>
            <w:rStyle w:val="Hyperlink"/>
          </w:rPr>
          <w:t xml:space="preserve">Open Problems</w:t>
        </w:r>
      </w:hyperlink>
      <w:r>
        <w:t xml:space="preserve"> </w:t>
      </w:r>
      <w:r>
        <w:t xml:space="preserve">label-projection task — their 6 datasets, splits, and metrics — and slotted it into their</w:t>
      </w:r>
      <w:r>
        <w:t xml:space="preserve"> </w:t>
      </w:r>
      <w:r>
        <w:t xml:space="preserve">published v2.0.0 leaderboard (S8).</w:t>
      </w:r>
    </w:p>
    <w:p>
      <w:pPr>
        <w:pStyle w:val="BodyText"/>
      </w:pPr>
      <w:r>
        <w:rPr>
          <w:b/>
          <w:bCs/>
        </w:rPr>
        <w:t xml:space="preserve">Placement.</w:t>
      </w:r>
      <w:r>
        <w:t xml:space="preserve"> </w:t>
      </w:r>
      <w:r>
        <w:t xml:space="preserve">On a benchmark we did not design and cannot tune,</w:t>
      </w:r>
      <w:r>
        <w:t xml:space="preserve"> </w:t>
      </w:r>
      <w:r>
        <w:rPr>
          <w:b/>
          <w:bCs/>
        </w:rPr>
        <w:t xml:space="preserve">actinn-jax places 3rd of</w:t>
      </w:r>
      <w:r>
        <w:rPr>
          <w:b/>
          <w:bCs/>
        </w:rPr>
        <w:t xml:space="preserve"> </w:t>
      </w:r>
      <w:r>
        <w:rPr>
          <w:b/>
          <w:bCs/>
        </w:rPr>
        <w:t xml:space="preserve">17 on mean accuracy (0.837), 1st among all methods that complete every dataset</w:t>
      </w:r>
      <w:r>
        <w:t xml:space="preserve">, beats its</w:t>
      </w:r>
      <w:r>
        <w:t xml:space="preserve"> </w:t>
      </w:r>
      <w:r>
        <w:t xml:space="preserve">PCA-space</w:t>
      </w:r>
      <w:r>
        <w:t xml:space="preserve"> </w:t>
      </w:r>
      <w:r>
        <w:rPr>
          <w:rStyle w:val="VerbatimChar"/>
        </w:rPr>
        <w:t xml:space="preserve">mlp</w:t>
      </w:r>
      <w:r>
        <w:t xml:space="preserve"> </w:t>
      </w:r>
      <w:r>
        <w:t xml:space="preserve">sibling, and posts the best accuracy of any completing method on the hardest</w:t>
      </w:r>
      <w:r>
        <w:t xml:space="preserve"> </w:t>
      </w:r>
      <w:r>
        <w:t xml:space="preserve">dataset (tabula_sapiens, 160 types: 0.394 vs mlp 0.342). It is upper-mid on macro-F1 and</w:t>
      </w:r>
      <w:r>
        <w:t xml:space="preserve"> </w:t>
      </w:r>
      <w:r>
        <w:rPr>
          <w:b/>
          <w:bCs/>
        </w:rPr>
        <w:t xml:space="preserve">not the top method overall</w:t>
      </w:r>
      <w:r>
        <w:t xml:space="preserve"> </w:t>
      </w:r>
      <w:r>
        <w:t xml:space="preserve">— scANVI+scArches surgery and xgboost</w:t>
      </w:r>
      <w:r>
        <w:t xml:space="preserve"> </w:t>
      </w:r>
      <w:hyperlink r:id="rId63">
        <w:r>
          <w:rPr>
            <w:rStyle w:val="Hyperlink"/>
          </w:rPr>
          <w:t xml:space="preserve">[Chen &amp; Guestrin 2016]</w:t>
        </w:r>
      </w:hyperlink>
      <w:r>
        <w:t xml:space="preserve"> </w:t>
      </w:r>
      <w:r>
        <w:t xml:space="preserve">score higher on the</w:t>
      </w:r>
      <w:r>
        <w:t xml:space="preserve"> </w:t>
      </w:r>
      <w:r>
        <w:t xml:space="preserve">datasets they finish, though both</w:t>
      </w:r>
      <w:r>
        <w:t xml:space="preserve"> </w:t>
      </w:r>
      <w:r>
        <w:rPr>
          <w:b/>
          <w:bCs/>
        </w:rPr>
        <w:t xml:space="preserve">fail to complete tabula_sapiens</w:t>
      </w:r>
      <w:r>
        <w:t xml:space="preserve">, which is why they</w:t>
      </w:r>
      <w:r>
        <w:t xml:space="preserve"> </w:t>
      </w:r>
      <w:r>
        <w:t xml:space="preserve">rank above actinn-jax only on a mean over the 5 easier datasets. The foundation models again</w:t>
      </w:r>
      <w:r>
        <w:t xml:space="preserve"> </w:t>
      </w:r>
      <w:r>
        <w:t xml:space="preserve">land at the bottom (scgpt_zeroshot 0.639, uce 0.131 ≈ the random-labels control),</w:t>
      </w:r>
      <w:r>
        <w:t xml:space="preserve"> </w:t>
      </w:r>
      <w:r>
        <w:t xml:space="preserve">reproducing §3.6 externally.</w:t>
      </w:r>
    </w:p>
    <w:p>
      <w:pPr>
        <w:pStyle w:val="BodyText"/>
      </w:pPr>
      <w:r>
        <w:t xml:space="preserve">Means over the six datasets, every method through the same pipeline on one instance: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jc w:val="right"/>
            </w:pPr>
            <w:r>
              <w:t xml:space="preserve">mean acc</w:t>
            </w:r>
          </w:p>
        </w:tc>
        <w:tc>
          <w:tcPr/>
          <w:p>
            <w:pPr>
              <w:pStyle w:val="Compact"/>
              <w:jc w:val="right"/>
            </w:pPr>
            <w:r>
              <w:t xml:space="preserve">macro-F1</w:t>
            </w:r>
          </w:p>
        </w:tc>
        <w:tc>
          <w:tcPr/>
          <w:p>
            <w:pPr>
              <w:pStyle w:val="Compact"/>
              <w:jc w:val="right"/>
            </w:pPr>
            <w:r>
              <w:t xml:space="preserve">cost</w:t>
            </w:r>
          </w:p>
        </w:tc>
        <w:tc>
          <w:tcPr/>
          <w:p>
            <w:pPr>
              <w:pStyle w:val="Compact"/>
              <w:jc w:val="right"/>
            </w:pPr>
            <w:r>
              <w:t xml:space="preserve">peak RSS</w:t>
            </w:r>
          </w:p>
        </w:tc>
      </w:tr>
      <w:tr>
        <w:tc>
          <w:tcPr/>
          <w:p>
            <w:pPr>
              <w:pStyle w:val="Compact"/>
            </w:pPr>
            <w:r>
              <w:t xml:space="preserve">mlp</w:t>
            </w:r>
          </w:p>
        </w:tc>
        <w:tc>
          <w:tcPr/>
          <w:p>
            <w:pPr>
              <w:pStyle w:val="Compact"/>
              <w:jc w:val="right"/>
            </w:pPr>
            <w:r>
              <w:t xml:space="preserve">0.843</w:t>
            </w:r>
          </w:p>
        </w:tc>
        <w:tc>
          <w:tcPr/>
          <w:p>
            <w:pPr>
              <w:pStyle w:val="Compact"/>
              <w:jc w:val="right"/>
            </w:pPr>
            <w:r>
              <w:t xml:space="preserve">0.662</w:t>
            </w:r>
          </w:p>
        </w:tc>
        <w:tc>
          <w:tcPr/>
          <w:p>
            <w:pPr>
              <w:pStyle w:val="Compact"/>
              <w:jc w:val="right"/>
            </w:pPr>
            <w:r>
              <w:t xml:space="preserve">1.98×</w:t>
            </w:r>
          </w:p>
        </w:tc>
        <w:tc>
          <w:tcPr/>
          <w:p>
            <w:pPr>
              <w:pStyle w:val="Compact"/>
              <w:jc w:val="right"/>
            </w:pPr>
            <w:r>
              <w:t xml:space="preserve">19.9 GB</w:t>
            </w:r>
          </w:p>
        </w:tc>
      </w:tr>
      <w:tr>
        <w:tc>
          <w:tcPr/>
          <w:p>
            <w:pPr>
              <w:pStyle w:val="Compact"/>
            </w:pPr>
            <w:r>
              <w:rPr>
                <w:b/>
                <w:bCs/>
              </w:rPr>
              <w:t xml:space="preserve">actinn-jax</w:t>
            </w:r>
          </w:p>
        </w:tc>
        <w:tc>
          <w:tcPr/>
          <w:p>
            <w:pPr>
              <w:pStyle w:val="Compact"/>
              <w:jc w:val="right"/>
            </w:pPr>
            <w:r>
              <w:t xml:space="preserve">0.836</w:t>
            </w:r>
          </w:p>
        </w:tc>
        <w:tc>
          <w:tcPr/>
          <w:p>
            <w:pPr>
              <w:pStyle w:val="Compact"/>
              <w:jc w:val="right"/>
            </w:pPr>
            <w:r>
              <w:t xml:space="preserve">0.663</w:t>
            </w:r>
          </w:p>
        </w:tc>
        <w:tc>
          <w:tcPr/>
          <w:p>
            <w:pPr>
              <w:pStyle w:val="Compact"/>
              <w:jc w:val="right"/>
            </w:pPr>
            <w:r>
              <w:t xml:space="preserve">1.00×</w:t>
            </w:r>
          </w:p>
        </w:tc>
        <w:tc>
          <w:tcPr/>
          <w:p>
            <w:pPr>
              <w:pStyle w:val="Compact"/>
              <w:jc w:val="right"/>
            </w:pPr>
            <w:r>
              <w:t xml:space="preserve">21.0 GB</w:t>
            </w:r>
          </w:p>
        </w:tc>
      </w:tr>
      <w:tr>
        <w:tc>
          <w:tcPr/>
          <w:p>
            <w:pPr>
              <w:pStyle w:val="Compact"/>
            </w:pPr>
            <w:r>
              <w:rPr>
                <w:b/>
                <w:bCs/>
              </w:rPr>
              <w:t xml:space="preserve">linear-anova-pca</w:t>
            </w:r>
          </w:p>
        </w:tc>
        <w:tc>
          <w:tcPr/>
          <w:p>
            <w:pPr>
              <w:pStyle w:val="Compact"/>
              <w:jc w:val="right"/>
            </w:pPr>
            <w:r>
              <w:t xml:space="preserve">0.828</w:t>
            </w:r>
          </w:p>
        </w:tc>
        <w:tc>
          <w:tcPr/>
          <w:p>
            <w:pPr>
              <w:pStyle w:val="Compact"/>
              <w:jc w:val="right"/>
            </w:pPr>
            <w:r>
              <w:t xml:space="preserve">0.647</w:t>
            </w:r>
          </w:p>
        </w:tc>
        <w:tc>
          <w:tcPr/>
          <w:p>
            <w:pPr>
              <w:pStyle w:val="Compact"/>
              <w:jc w:val="right"/>
            </w:pPr>
            <w:r>
              <w:t xml:space="preserve">2.67×</w:t>
            </w:r>
          </w:p>
        </w:tc>
        <w:tc>
          <w:tcPr/>
          <w:p>
            <w:pPr>
              <w:pStyle w:val="Compact"/>
              <w:jc w:val="right"/>
            </w:pPr>
            <w:r>
              <w:t xml:space="preserve">20.1 GB</w:t>
            </w:r>
          </w:p>
        </w:tc>
      </w:tr>
      <w:tr>
        <w:tc>
          <w:tcPr/>
          <w:p>
            <w:pPr>
              <w:pStyle w:val="Compact"/>
            </w:pPr>
            <w:r>
              <w:rPr>
                <w:b/>
                <w:bCs/>
              </w:rPr>
              <w:t xml:space="preserve">SVM (SGD)</w:t>
            </w:r>
          </w:p>
        </w:tc>
        <w:tc>
          <w:tcPr/>
          <w:p>
            <w:pPr>
              <w:pStyle w:val="Compact"/>
              <w:jc w:val="right"/>
            </w:pPr>
            <w:r>
              <w:t xml:space="preserve">0.816</w:t>
            </w:r>
          </w:p>
        </w:tc>
        <w:tc>
          <w:tcPr/>
          <w:p>
            <w:pPr>
              <w:pStyle w:val="Compact"/>
              <w:jc w:val="right"/>
            </w:pPr>
            <w:r>
              <w:t xml:space="preserve">0.652</w:t>
            </w:r>
          </w:p>
        </w:tc>
        <w:tc>
          <w:tcPr/>
          <w:p>
            <w:pPr>
              <w:pStyle w:val="Compact"/>
              <w:jc w:val="right"/>
            </w:pPr>
            <w:r>
              <w:t xml:space="preserve">6.07×</w:t>
            </w:r>
          </w:p>
        </w:tc>
        <w:tc>
          <w:tcPr/>
          <w:p>
            <w:pPr>
              <w:pStyle w:val="Compact"/>
              <w:jc w:val="right"/>
            </w:pPr>
            <w:r>
              <w:t xml:space="preserve">20.1 GB</w:t>
            </w:r>
          </w:p>
        </w:tc>
      </w:tr>
      <w:tr>
        <w:tc>
          <w:tcPr/>
          <w:p>
            <w:pPr>
              <w:pStyle w:val="Compact"/>
            </w:pPr>
            <w:r>
              <w:t xml:space="preserve">logistic_regression</w:t>
            </w:r>
          </w:p>
        </w:tc>
        <w:tc>
          <w:tcPr/>
          <w:p>
            <w:pPr>
              <w:pStyle w:val="Compact"/>
              <w:jc w:val="right"/>
            </w:pPr>
            <w:r>
              <w:t xml:space="preserve">0.813</w:t>
            </w:r>
          </w:p>
        </w:tc>
        <w:tc>
          <w:tcPr/>
          <w:p>
            <w:pPr>
              <w:pStyle w:val="Compact"/>
              <w:jc w:val="right"/>
            </w:pPr>
            <w:r>
              <w:rPr>
                <w:b/>
                <w:bCs/>
              </w:rPr>
              <w:t xml:space="preserve">0.689</w:t>
            </w:r>
          </w:p>
        </w:tc>
        <w:tc>
          <w:tcPr/>
          <w:p>
            <w:pPr>
              <w:pStyle w:val="Compact"/>
              <w:jc w:val="right"/>
            </w:pPr>
            <w:r>
              <w:rPr>
                <w:b/>
                <w:bCs/>
              </w:rPr>
              <w:t xml:space="preserve">0.18×</w:t>
            </w:r>
          </w:p>
        </w:tc>
        <w:tc>
          <w:tcPr/>
          <w:p>
            <w:pPr>
              <w:pStyle w:val="Compact"/>
              <w:jc w:val="right"/>
            </w:pPr>
            <w:r>
              <w:t xml:space="preserve">20.0 GB</w:t>
            </w:r>
          </w:p>
        </w:tc>
      </w:tr>
      <w:tr>
        <w:tc>
          <w:tcPr/>
          <w:p>
            <w:pPr>
              <w:pStyle w:val="Compact"/>
            </w:pPr>
            <w:r>
              <w:rPr>
                <w:b/>
                <w:bCs/>
              </w:rPr>
              <w:t xml:space="preserve">CellTypist</w:t>
            </w:r>
          </w:p>
        </w:tc>
        <w:tc>
          <w:tcPr/>
          <w:p>
            <w:pPr>
              <w:pStyle w:val="Compact"/>
              <w:jc w:val="right"/>
            </w:pPr>
            <w:r>
              <w:t xml:space="preserve">0.810</w:t>
            </w:r>
          </w:p>
        </w:tc>
        <w:tc>
          <w:tcPr/>
          <w:p>
            <w:pPr>
              <w:pStyle w:val="Compact"/>
              <w:jc w:val="right"/>
            </w:pPr>
            <w:r>
              <w:t xml:space="preserve">0.643</w:t>
            </w:r>
          </w:p>
        </w:tc>
        <w:tc>
          <w:tcPr/>
          <w:p>
            <w:pPr>
              <w:pStyle w:val="Compact"/>
              <w:jc w:val="right"/>
            </w:pPr>
            <w:r>
              <w:t xml:space="preserve">7.62×</w:t>
            </w:r>
          </w:p>
        </w:tc>
        <w:tc>
          <w:tcPr/>
          <w:p>
            <w:pPr>
              <w:pStyle w:val="Compact"/>
              <w:jc w:val="right"/>
            </w:pPr>
            <w:r>
              <w:t xml:space="preserve">20.1 GB</w:t>
            </w:r>
          </w:p>
        </w:tc>
      </w:tr>
      <w:tr>
        <w:tc>
          <w:tcPr/>
          <w:p>
            <w:pPr>
              <w:pStyle w:val="Compact"/>
            </w:pPr>
            <w:r>
              <w:t xml:space="preserve">knn</w:t>
            </w:r>
          </w:p>
        </w:tc>
        <w:tc>
          <w:tcPr/>
          <w:p>
            <w:pPr>
              <w:pStyle w:val="Compact"/>
              <w:jc w:val="right"/>
            </w:pPr>
            <w:r>
              <w:t xml:space="preserve">0.793</w:t>
            </w:r>
          </w:p>
        </w:tc>
        <w:tc>
          <w:tcPr/>
          <w:p>
            <w:pPr>
              <w:pStyle w:val="Compact"/>
              <w:jc w:val="right"/>
            </w:pPr>
            <w:r>
              <w:t xml:space="preserve">0.648</w:t>
            </w:r>
          </w:p>
        </w:tc>
        <w:tc>
          <w:tcPr/>
          <w:p>
            <w:pPr>
              <w:pStyle w:val="Compact"/>
              <w:jc w:val="right"/>
            </w:pPr>
            <w:r>
              <w:rPr>
                <w:b/>
                <w:bCs/>
              </w:rPr>
              <w:t xml:space="preserve">0.07×</w:t>
            </w:r>
          </w:p>
        </w:tc>
        <w:tc>
          <w:tcPr/>
          <w:p>
            <w:pPr>
              <w:pStyle w:val="Compact"/>
              <w:jc w:val="right"/>
            </w:pPr>
            <w:r>
              <w:t xml:space="preserve">19.5 GB</w:t>
            </w:r>
          </w:p>
        </w:tc>
      </w:tr>
      <w:tr>
        <w:tc>
          <w:tcPr/>
          <w:p>
            <w:pPr>
              <w:pStyle w:val="Compact"/>
            </w:pPr>
            <w:r>
              <w:t xml:space="preserve">xgboost</w:t>
            </w:r>
          </w:p>
        </w:tc>
        <w:tc>
          <w:tcPr/>
          <w:p>
            <w:pPr>
              <w:pStyle w:val="Compact"/>
              <w:jc w:val="right"/>
            </w:pPr>
            <w:r>
              <w:t xml:space="preserve">0.791</w:t>
            </w:r>
          </w:p>
        </w:tc>
        <w:tc>
          <w:tcPr/>
          <w:p>
            <w:pPr>
              <w:pStyle w:val="Compact"/>
              <w:jc w:val="right"/>
            </w:pPr>
            <w:r>
              <w:t xml:space="preserve">0.614</w:t>
            </w:r>
          </w:p>
        </w:tc>
        <w:tc>
          <w:tcPr/>
          <w:p>
            <w:pPr>
              <w:pStyle w:val="Compact"/>
              <w:jc w:val="right"/>
            </w:pPr>
            <w:r>
              <w:t xml:space="preserve">5.48×</w:t>
            </w:r>
          </w:p>
        </w:tc>
        <w:tc>
          <w:tcPr/>
          <w:p>
            <w:pPr>
              <w:pStyle w:val="Compact"/>
              <w:jc w:val="right"/>
            </w:pPr>
            <w:r>
              <w:t xml:space="preserve">80.7 GB</w:t>
            </w:r>
          </w:p>
        </w:tc>
      </w:tr>
      <w:tr>
        <w:tc>
          <w:tcPr/>
          <w:p>
            <w:pPr>
              <w:pStyle w:val="Compact"/>
            </w:pPr>
            <w:r>
              <w:t xml:space="preserve">cellmapper_linear</w:t>
            </w:r>
          </w:p>
        </w:tc>
        <w:tc>
          <w:tcPr/>
          <w:p>
            <w:pPr>
              <w:pStyle w:val="Compact"/>
              <w:jc w:val="right"/>
            </w:pPr>
            <w:r>
              <w:t xml:space="preserve">0.776</w:t>
            </w:r>
          </w:p>
        </w:tc>
        <w:tc>
          <w:tcPr/>
          <w:p>
            <w:pPr>
              <w:pStyle w:val="Compact"/>
              <w:jc w:val="right"/>
            </w:pPr>
            <w:r>
              <w:t xml:space="preserve">0.553</w:t>
            </w:r>
          </w:p>
        </w:tc>
        <w:tc>
          <w:tcPr/>
          <w:p>
            <w:pPr>
              <w:pStyle w:val="Compact"/>
              <w:jc w:val="right"/>
            </w:pPr>
            <w:r>
              <w:t xml:space="preserve">0.35×</w:t>
            </w:r>
          </w:p>
        </w:tc>
        <w:tc>
          <w:tcPr/>
          <w:p>
            <w:pPr>
              <w:pStyle w:val="Compact"/>
              <w:jc w:val="right"/>
            </w:pPr>
            <w:r>
              <w:t xml:space="preserve">31.5 GB</w:t>
            </w:r>
          </w:p>
        </w:tc>
      </w:tr>
      <w:tr>
        <w:tc>
          <w:tcPr/>
          <w:p>
            <w:pPr>
              <w:pStyle w:val="Compact"/>
            </w:pPr>
            <w:r>
              <w:t xml:space="preserve">naive_bayes</w:t>
            </w:r>
          </w:p>
        </w:tc>
        <w:tc>
          <w:tcPr/>
          <w:p>
            <w:pPr>
              <w:pStyle w:val="Compact"/>
              <w:jc w:val="right"/>
            </w:pPr>
            <w:r>
              <w:t xml:space="preserve">0.738</w:t>
            </w:r>
          </w:p>
        </w:tc>
        <w:tc>
          <w:tcPr/>
          <w:p>
            <w:pPr>
              <w:pStyle w:val="Compact"/>
              <w:jc w:val="right"/>
            </w:pPr>
            <w:r>
              <w:t xml:space="preserve">0.613</w:t>
            </w:r>
          </w:p>
        </w:tc>
        <w:tc>
          <w:tcPr/>
          <w:p>
            <w:pPr>
              <w:pStyle w:val="Compact"/>
              <w:jc w:val="right"/>
            </w:pPr>
            <w:r>
              <w:t xml:space="preserve">0.19×</w:t>
            </w:r>
          </w:p>
        </w:tc>
        <w:tc>
          <w:tcPr/>
          <w:p>
            <w:pPr>
              <w:pStyle w:val="Compact"/>
              <w:jc w:val="right"/>
            </w:pPr>
            <w:r>
              <w:t xml:space="preserve">19.5 GB</w:t>
            </w:r>
          </w:p>
        </w:tc>
      </w:tr>
      <w:tr>
        <w:tc>
          <w:tcPr/>
          <w:p>
            <w:pPr>
              <w:pStyle w:val="Compact"/>
            </w:pPr>
            <w:r>
              <w:rPr>
                <w:b/>
                <w:bCs/>
              </w:rPr>
              <w:t xml:space="preserve">scTOP</w:t>
            </w:r>
          </w:p>
        </w:tc>
        <w:tc>
          <w:tcPr/>
          <w:p>
            <w:pPr>
              <w:pStyle w:val="Compact"/>
              <w:jc w:val="right"/>
            </w:pPr>
            <w:r>
              <w:t xml:space="preserve">0.581</w:t>
            </w:r>
          </w:p>
        </w:tc>
        <w:tc>
          <w:tcPr/>
          <w:p>
            <w:pPr>
              <w:pStyle w:val="Compact"/>
              <w:jc w:val="right"/>
            </w:pPr>
            <w:r>
              <w:t xml:space="preserve">0.462</w:t>
            </w:r>
          </w:p>
        </w:tc>
        <w:tc>
          <w:tcPr/>
          <w:p>
            <w:pPr>
              <w:pStyle w:val="Compact"/>
              <w:jc w:val="right"/>
            </w:pPr>
            <w:r>
              <w:rPr>
                <w:b/>
                <w:bCs/>
              </w:rPr>
              <w:t xml:space="preserve">0.16×</w:t>
            </w:r>
          </w:p>
        </w:tc>
        <w:tc>
          <w:tcPr/>
          <w:p>
            <w:pPr>
              <w:pStyle w:val="Compact"/>
              <w:jc w:val="right"/>
            </w:pPr>
            <w:r>
              <w:t xml:space="preserve">20.4 GB</w:t>
            </w:r>
          </w:p>
        </w:tc>
      </w:tr>
    </w:tbl>
    <w:p>
      <w:pPr>
        <w:pStyle w:val="BodyText"/>
      </w:pPr>
      <w:r>
        <w:rPr>
          <w:b/>
          <w:bCs/>
        </w:rPr>
        <w:t xml:space="preserve">Table 10.</w:t>
      </w:r>
      <w:r>
        <w:t xml:space="preserve"> </w:t>
      </w:r>
      <w:r>
        <w:t xml:space="preserve">All eleven methods on the six Open Problems datasets, ordered by accuracy. Bold</w:t>
      </w:r>
      <w:r>
        <w:t xml:space="preserve"> </w:t>
      </w:r>
      <w:r>
        <w:t xml:space="preserve">marks the four components we contributed.</w:t>
      </w:r>
      <w:r>
        <w:t xml:space="preserve"> </w:t>
      </w:r>
      <w:r>
        <w:rPr>
          <w:i/>
          <w:iCs/>
        </w:rPr>
        <w:t xml:space="preserve">cost</w:t>
      </w:r>
      <w:r>
        <w:t xml:space="preserve"> </w:t>
      </w:r>
      <w:r>
        <w:t xml:space="preserve">is per-dataset wall-clock relative to</w:t>
      </w:r>
      <w:r>
        <w:t xml:space="preserve"> </w:t>
      </w:r>
      <w:r>
        <w:t xml:space="preserve">actinn-jax (§2.10), for which 1.00× is roughly two minutes.</w:t>
      </w:r>
    </w:p>
    <w:p>
      <w:pPr>
        <w:pStyle w:val="BodyText"/>
      </w:pPr>
      <w:r>
        <w:t xml:space="preserve">actinn-jax</w:t>
      </w:r>
      <w:r>
        <w:t xml:space="preserve"> </w:t>
      </w:r>
      <w:r>
        <w:rPr>
          <w:b/>
          <w:bCs/>
        </w:rPr>
        <w:t xml:space="preserve">matches its</w:t>
      </w:r>
      <w:r>
        <w:rPr>
          <w:b/>
          <w:bCs/>
        </w:rPr>
        <w:t xml:space="preserve"> </w:t>
      </w:r>
      <w:r>
        <w:rPr>
          <w:rStyle w:val="VerbatimChar"/>
          <w:b/>
          <w:bCs/>
        </w:rPr>
        <w:t xml:space="preserve">mlp</w:t>
      </w:r>
      <w:r>
        <w:rPr>
          <w:b/>
          <w:bCs/>
        </w:rPr>
        <w:t xml:space="preserve"> </w:t>
      </w:r>
      <w:r>
        <w:rPr>
          <w:b/>
          <w:bCs/>
        </w:rPr>
        <w:t xml:space="preserve">sibling on accuracy at half the cost</w:t>
      </w:r>
      <w:r>
        <w:t xml:space="preserve">, and</w:t>
      </w:r>
      <w:r>
        <w:t xml:space="preserve"> </w:t>
      </w:r>
      <w:r>
        <w:rPr>
          <w:b/>
          <w:bCs/>
        </w:rPr>
        <w:t xml:space="preserve">beats xgboost on</w:t>
      </w:r>
      <w:r>
        <w:rPr>
          <w:b/>
          <w:bCs/>
        </w:rPr>
        <w:t xml:space="preserve"> </w:t>
      </w:r>
      <w:r>
        <w:rPr>
          <w:b/>
          <w:bCs/>
        </w:rPr>
        <w:t xml:space="preserve">accuracy at 5.5× less runtime and 4× less memory</w:t>
      </w:r>
      <w:r>
        <w:t xml:space="preserve"> </w:t>
      </w:r>
      <w:r>
        <w:t xml:space="preserve">(21 vs 81 GB). Everything cheaper — knn,</w:t>
      </w:r>
      <w:r>
        <w:t xml:space="preserve"> </w:t>
      </w:r>
      <w:r>
        <w:t xml:space="preserve">logistic_regression, naive_bayes, scTOP — is less accurate, and the one heavyweight is slower</w:t>
      </w:r>
      <w:r>
        <w:t xml:space="preserve"> </w:t>
      </w:r>
      <w:r>
        <w:t xml:space="preserve">and heavier. Nothing here beats it on accuracy and cost together.</w:t>
      </w:r>
    </w:p>
    <w:p>
      <w:pPr>
        <w:pStyle w:val="BodyText"/>
      </w:pPr>
      <w:r>
        <w:rPr>
          <w:b/>
          <w:bCs/>
        </w:rPr>
        <w:t xml:space="preserve">The tuned linear pipeline loses its §3.1 advantage on both axes.</w:t>
      </w:r>
      <w:r>
        <w:t xml:space="preserve"> </w:t>
      </w:r>
      <w:r>
        <w:t xml:space="preserve">It places third on</w:t>
      </w:r>
      <w:r>
        <w:t xml:space="preserve"> </w:t>
      </w:r>
      <w:r>
        <w:t xml:space="preserve">accuracy (0.828, behind</w:t>
      </w:r>
      <w:r>
        <w:t xml:space="preserve"> </w:t>
      </w:r>
      <w:r>
        <w:rPr>
          <w:rStyle w:val="VerbatimChar"/>
        </w:rPr>
        <w:t xml:space="preserve">mlp</w:t>
      </w:r>
      <w:r>
        <w:t xml:space="preserve"> </w:t>
      </w:r>
      <w:r>
        <w:t xml:space="preserve">and actinn-jax), and where it fits 7×</w:t>
      </w:r>
      <w:r>
        <w:t xml:space="preserve"> </w:t>
      </w:r>
      <w:r>
        <w:rPr>
          <w:i/>
          <w:iCs/>
        </w:rPr>
        <w:t xml:space="preserve">faster</w:t>
      </w:r>
      <w:r>
        <w:t xml:space="preserve"> </w:t>
      </w:r>
      <w:r>
        <w:t xml:space="preserve">than actinn-jax</w:t>
      </w:r>
      <w:r>
        <w:t xml:space="preserve"> </w:t>
      </w:r>
      <w:r>
        <w:t xml:space="preserve">on the in-house panel it costs</w:t>
      </w:r>
      <w:r>
        <w:t xml:space="preserve"> </w:t>
      </w:r>
      <w:r>
        <w:rPr>
          <w:b/>
          <w:bCs/>
        </w:rPr>
        <w:t xml:space="preserve">2.7× more</w:t>
      </w:r>
      <w:r>
        <w:t xml:space="preserve"> </w:t>
      </w:r>
      <w:r>
        <w:t xml:space="preserve">here. The input budget explains the reversal: OP</w:t>
      </w:r>
      <w:r>
        <w:t xml:space="preserve"> </w:t>
      </w:r>
      <w:r>
        <w:t xml:space="preserve">hands every method 1,000 HVGs, and an ANOVA→PCA→logistic pipeline pays for the decomposition</w:t>
      </w:r>
      <w:r>
        <w:t xml:space="preserve"> </w:t>
      </w:r>
      <w:r>
        <w:t xml:space="preserve">on every query while a gene-space MLP amortizes it into one fit. CellTypist (7.6×) and the</w:t>
      </w:r>
      <w:r>
        <w:t xml:space="preserve"> </w:t>
      </w:r>
      <w:r>
        <w:t xml:space="preserve">SGD-SVM (6.1×) shift the same way. Neither a cost ranking nor an accuracy ranking survives a</w:t>
      </w:r>
      <w:r>
        <w:t xml:space="preserve"> </w:t>
      </w:r>
      <w:r>
        <w:t xml:space="preserve">change of feature budget — which is the case for reporting both panels rather than picking</w:t>
      </w:r>
      <w:r>
        <w:t xml:space="preserve"> </w:t>
      </w:r>
      <w:r>
        <w:t xml:space="preserve">one.</w:t>
      </w:r>
    </w:p>
    <w:p>
      <w:pPr>
        <w:pStyle w:val="BodyText"/>
      </w:pPr>
      <w:r>
        <w:rPr>
          <w:rStyle w:val="VerbatimChar"/>
        </w:rPr>
        <w:t xml:space="preserve">logistic_regression</w:t>
      </w:r>
      <w:r>
        <w:t xml:space="preserve"> </w:t>
      </w:r>
      <w:r>
        <w:t xml:space="preserve">is worth noting separately: it takes macro-F1 (0.689) from fifth on</w:t>
      </w:r>
      <w:r>
        <w:t xml:space="preserve"> </w:t>
      </w:r>
      <w:r>
        <w:t xml:space="preserve">accuracy, at the second-lowest cost. Across datasets spanning 13 to 160 cell types, accuracy</w:t>
      </w:r>
      <w:r>
        <w:t xml:space="preserve"> </w:t>
      </w:r>
      <w:r>
        <w:t xml:space="preserve">and macro-F1 do not order the panel the same way.</w:t>
      </w:r>
    </w:p>
    <w:p>
      <w:pPr>
        <w:pStyle w:val="BodyText"/>
      </w:pPr>
      <w:r>
        <w:rPr>
          <w:b/>
          <w:bCs/>
        </w:rPr>
        <w:t xml:space="preserve">scTOP fails on two of the six.</w:t>
      </w:r>
      <w:r>
        <w:t xml:space="preserve"> </w:t>
      </w:r>
      <w:r>
        <w:t xml:space="preserve">Its mean (0.581) is not a</w:t>
      </w:r>
      <w:r>
        <w:t xml:space="preserve"> </w:t>
      </w:r>
      <w:r>
        <w:t xml:space="preserve">uniformly weak result but two collapses inside four ordinary ones: 0.124 on gtex_v9 and</w:t>
      </w:r>
      <w:r>
        <w:t xml:space="preserve"> </w:t>
      </w:r>
      <w:r>
        <w:t xml:space="preserve">0.042 on tabula_sapiens against 0.90–0.99 elsewhere. Open Problems hands every method 1,000</w:t>
      </w:r>
      <w:r>
        <w:t xml:space="preserve"> </w:t>
      </w:r>
      <w:r>
        <w:t xml:space="preserve">HVGs, and scTOP’s rank projection needs genes expressed in an appreciable fraction of cells;</w:t>
      </w:r>
      <w:r>
        <w:t xml:space="preserve"> </w:t>
      </w:r>
      <w:r>
        <w:t xml:space="preserve">after its expression filter only</w:t>
      </w:r>
      <w:r>
        <w:t xml:space="preserve"> </w:t>
      </w:r>
      <w:r>
        <w:rPr>
          <w:b/>
          <w:bCs/>
        </w:rPr>
        <w:t xml:space="preserve">106 of 1,000</w:t>
      </w:r>
      <w:r>
        <w:t xml:space="preserve"> </w:t>
      </w:r>
      <w:r>
        <w:t xml:space="preserve">genes survive on gtex_v9 and 210 on</w:t>
      </w:r>
      <w:r>
        <w:t xml:space="preserve"> </w:t>
      </w:r>
      <w:r>
        <w:t xml:space="preserve">tabula_sapiens, against 306–405 where it works. At that point some test cells retain no</w:t>
      </w:r>
      <w:r>
        <w:t xml:space="preserve"> </w:t>
      </w:r>
      <w:r>
        <w:t xml:space="preserve">counts at all — 185 of 11,508 on gtex_v9 — and cannot be placed; they are scored as wrong</w:t>
      </w:r>
      <w:r>
        <w:t xml:space="preserve"> </w:t>
      </w:r>
      <w:r>
        <w:t xml:space="preserve">rather than dropped, so 0.124 is a floor. This is the same limitation §3.1 reports from the</w:t>
      </w:r>
      <w:r>
        <w:t xml:space="preserve"> </w:t>
      </w:r>
      <w:r>
        <w:t xml:space="preserve">other direction: scTOP is built for small, low-cardinality problems, and a fixed 1,000-HVG</w:t>
      </w:r>
      <w:r>
        <w:t xml:space="preserve"> </w:t>
      </w:r>
      <w:r>
        <w:t xml:space="preserve">budget over 53 and 160 types is neither.</w:t>
      </w:r>
    </w:p>
    <w:p>
      <w:pPr>
        <w:pStyle w:val="BodyText"/>
      </w:pPr>
      <w:r>
        <w:rPr>
          <w:b/>
          <w:bCs/>
        </w:rPr>
        <w:t xml:space="preserve">Three cheap ablations, and their limits.</w:t>
      </w:r>
      <w:r>
        <w:t xml:space="preserve"> </w:t>
      </w:r>
      <w:r>
        <w:t xml:space="preserve">(i)</w:t>
      </w:r>
      <w:r>
        <w:t xml:space="preserve"> </w:t>
      </w:r>
      <w:r>
        <w:rPr>
          <w:i/>
          <w:iCs/>
        </w:rPr>
        <w:t xml:space="preserve">Input standardization</w:t>
      </w:r>
      <w:r>
        <w:t xml:space="preserve"> </w:t>
      </w:r>
      <w:r>
        <w:t xml:space="preserve">— z-scoring</w:t>
      </w:r>
      <w:r>
        <w:t xml:space="preserve"> </w:t>
      </w:r>
      <w:r>
        <w:t xml:space="preserve">genes to the reference’s frozen mean/std, a CPU-only domain-alignment inspired by scArches</w:t>
      </w:r>
      <w:r>
        <w:t xml:space="preserve"> </w:t>
      </w:r>
      <w:r>
        <w:t xml:space="preserve">reference surgery — lifts mean accuracy +0.2 and macro-F1 +1.2 pt (largest on batch-shifted</w:t>
      </w:r>
      <w:r>
        <w:t xml:space="preserve"> </w:t>
      </w:r>
      <w:r>
        <w:t xml:space="preserve">datasets: gtex macro-F1 +7.9). It is shipped</w:t>
      </w:r>
      <w:r>
        <w:t xml:space="preserve"> </w:t>
      </w:r>
      <w:r>
        <w:rPr>
          <w:b/>
          <w:bCs/>
        </w:rPr>
        <w:t xml:space="preserve">off by default</w:t>
      </w:r>
      <w:r>
        <w:t xml:space="preserve"> </w:t>
      </w:r>
      <w:r>
        <w:t xml:space="preserve">because it</w:t>
      </w:r>
      <w:r>
        <w:t xml:space="preserve"> </w:t>
      </w:r>
      <w:r>
        <w:t xml:space="preserve">shifts the softmax calibration that the two-stage abstain thresholds are tuned against.</w:t>
      </w:r>
      <w:r>
        <w:t xml:space="preserve"> </w:t>
      </w:r>
      <w:r>
        <w:t xml:space="preserve">(ii)</w:t>
      </w:r>
      <w:r>
        <w:t xml:space="preserve"> </w:t>
      </w:r>
      <w:r>
        <w:rPr>
          <w:i/>
          <w:iCs/>
        </w:rPr>
        <w:t xml:space="preserve">Gene budget</w:t>
      </w:r>
      <w:r>
        <w:t xml:space="preserve"> </w:t>
      </w:r>
      <w:r>
        <w:t xml:space="preserve">— OP feeds every method 1000 HVGs, which most starves a gene-space MLP.</w:t>
      </w:r>
      <w:r>
        <w:t xml:space="preserve"> </w:t>
      </w:r>
      <w:r>
        <w:t xml:space="preserve">Widening to ~5000 HVGs lifts accuracy on 4 of 6 datasets (immune/gtex +3 pt) and there</w:t>
      </w:r>
      <w:r>
        <w:t xml:space="preserve"> </w:t>
      </w:r>
      <w:r>
        <w:rPr>
          <w:b/>
          <w:bCs/>
        </w:rPr>
        <w:t xml:space="preserve">matches scANVI+scArches’s full-config leaderboard accuracy</w:t>
      </w:r>
      <w:r>
        <w:t xml:space="preserve"> </w:t>
      </w:r>
      <w:r>
        <w:t xml:space="preserve">(immune 0.891 ≈ 0.892) on CPU</w:t>
      </w:r>
      <w:r>
        <w:t xml:space="preserve"> </w:t>
      </w:r>
      <w:r>
        <w:t xml:space="preserve">in minutes — the gap to the top method was largely a gene-budget artifact, not the VAE. But</w:t>
      </w:r>
      <w:r>
        <w:t xml:space="preserve"> </w:t>
      </w:r>
      <w:r>
        <w:t xml:space="preserve">more genes is</w:t>
      </w:r>
      <w:r>
        <w:t xml:space="preserve"> </w:t>
      </w:r>
      <w:r>
        <w:rPr>
          <w:b/>
          <w:bCs/>
        </w:rPr>
        <w:t xml:space="preserve">not</w:t>
      </w:r>
      <w:r>
        <w:t xml:space="preserve"> </w:t>
      </w:r>
      <w:r>
        <w:t xml:space="preserve">a universal win: it</w:t>
      </w:r>
      <w:r>
        <w:t xml:space="preserve"> </w:t>
      </w:r>
      <w:r>
        <w:rPr>
          <w:i/>
          <w:iCs/>
        </w:rPr>
        <w:t xml:space="preserve">regresses</w:t>
      </w:r>
      <w:r>
        <w:t xml:space="preserve"> </w:t>
      </w:r>
      <w:r>
        <w:t xml:space="preserve">tabula_sapiens by ~10 pt (its</w:t>
      </w:r>
      <w:r>
        <w:t xml:space="preserve"> </w:t>
      </w:r>
      <w:r>
        <w:t xml:space="preserve">284-cell test batch across 160 fine types overfits reference-specific genes) and saturates</w:t>
      </w:r>
      <w:r>
        <w:t xml:space="preserve"> </w:t>
      </w:r>
      <w:r>
        <w:t xml:space="preserve">hypomap (Figure 4). The budget is</w:t>
      </w:r>
      <w:r>
        <w:t xml:space="preserve"> </w:t>
      </w:r>
      <w:r>
        <w:rPr>
          <w:b/>
          <w:bCs/>
        </w:rPr>
        <w:t xml:space="preserve">selectable without test labels</w:t>
      </w:r>
      <w:r>
        <w:t xml:space="preserve">: held-out</w:t>
      </w:r>
      <w:r>
        <w:t xml:space="preserve"> </w:t>
      </w:r>
      <w:r>
        <w:rPr>
          <w:i/>
          <w:iCs/>
        </w:rPr>
        <w:t xml:space="preserve">reference</w:t>
      </w:r>
      <w:r>
        <w:t xml:space="preserve"> </w:t>
      </w:r>
      <w:r>
        <w:t xml:space="preserve">cross-validation rises for the</w:t>
      </w:r>
      <w:r>
        <w:t xml:space="preserve"> </w:t>
      </w:r>
      <w:r>
        <w:t xml:space="preserve">datasets that benefit and is the one signal that</w:t>
      </w:r>
      <w:r>
        <w:t xml:space="preserve"> </w:t>
      </w:r>
      <w:r>
        <w:rPr>
          <w:i/>
          <w:iCs/>
        </w:rPr>
        <w:t xml:space="preserve">drops</w:t>
      </w:r>
      <w:r>
        <w:t xml:space="preserve"> </w:t>
      </w:r>
      <w:r>
        <w:t xml:space="preserve">for tabula_sapiens, and a trivial</w:t>
      </w:r>
      <w:r>
        <w:t xml:space="preserve"> </w:t>
      </w:r>
      <w:r>
        <w:t xml:space="preserve">query-cells-per-class check independently flags it (Figure 5) —</w:t>
      </w:r>
      <w:r>
        <w:t xml:space="preserve"> </w:t>
      </w:r>
      <w:r>
        <w:t xml:space="preserve">so the budget can be set deterministically per dataset. (iii)</w:t>
      </w:r>
      <w:r>
        <w:t xml:space="preserve"> </w:t>
      </w:r>
      <w:r>
        <w:rPr>
          <w:i/>
          <w:iCs/>
        </w:rPr>
        <w:t xml:space="preserve">Negative control</w:t>
      </w:r>
      <w:r>
        <w:t xml:space="preserve"> </w:t>
      </w:r>
      <w:r>
        <w:t xml:space="preserve">— a</w:t>
      </w:r>
      <w:r>
        <w:t xml:space="preserve"> </w:t>
      </w:r>
      <w:r>
        <w:t xml:space="preserve">CPU-only, UCE-style protein-embedding featurization (expression-weighted mean of ESM2 gene</w:t>
      </w:r>
      <w:r>
        <w:t xml:space="preserve"> </w:t>
      </w:r>
      <w:r>
        <w:t xml:space="preserve">embeddings) does</w:t>
      </w:r>
      <w:r>
        <w:t xml:space="preserve"> </w:t>
      </w:r>
      <w:r>
        <w:rPr>
          <w:b/>
          <w:bCs/>
        </w:rPr>
        <w:t xml:space="preserve">not</w:t>
      </w:r>
      <w:r>
        <w:t xml:space="preserve"> </w:t>
      </w:r>
      <w:r>
        <w:t xml:space="preserve">help and hurts the hardest case: the pooling discards the per-gene</w:t>
      </w:r>
      <w:r>
        <w:t xml:space="preserve"> </w:t>
      </w:r>
      <w:r>
        <w:t xml:space="preserve">detail that separates fine types, so the value of a foundation model like UCE stays locked</w:t>
      </w:r>
      <w:r>
        <w:t xml:space="preserve"> </w:t>
      </w:r>
      <w:r>
        <w:t xml:space="preserve">in its GPU transformer, not a portable averaging trick.</w:t>
      </w:r>
    </w:p>
    <w:p>
      <w:pPr>
        <w:pStyle w:val="BodyText"/>
      </w:pPr>
      <w:r>
        <w:drawing>
          <wp:inline>
            <wp:extent cx="5334000" cy="2139510"/>
            <wp:effectExtent b="0" l="0" r="0" t="0"/>
            <wp:docPr descr="gene budget curve" title="" id="65" name="Picture"/>
            <a:graphic>
              <a:graphicData uri="http://schemas.openxmlformats.org/drawingml/2006/picture">
                <pic:pic>
                  <pic:nvPicPr>
                    <pic:cNvPr descr="/Users/iandriver/Downloads/actinn-jax-benchmark/docs/figures/gene_budget_curve.png" id="66" name="Picture"/>
                    <pic:cNvPicPr>
                      <a:picLocks noChangeArrowheads="1" noChangeAspect="1"/>
                    </pic:cNvPicPr>
                  </pic:nvPicPr>
                  <pic:blipFill>
                    <a:blip r:embed="rId64"/>
                    <a:stretch>
                      <a:fillRect/>
                    </a:stretch>
                  </pic:blipFill>
                  <pic:spPr bwMode="auto">
                    <a:xfrm>
                      <a:off x="0" y="0"/>
                      <a:ext cx="5334000" cy="2139510"/>
                    </a:xfrm>
                    <a:prstGeom prst="rect">
                      <a:avLst/>
                    </a:prstGeom>
                    <a:noFill/>
                    <a:ln w="9525">
                      <a:noFill/>
                      <a:headEnd/>
                      <a:tailEnd/>
                    </a:ln>
                  </pic:spPr>
                </pic:pic>
              </a:graphicData>
            </a:graphic>
          </wp:inline>
        </w:drawing>
      </w:r>
    </w:p>
    <w:p>
      <w:pPr>
        <w:pStyle w:val="BodyText"/>
      </w:pPr>
      <w:r>
        <w:rPr>
          <w:b/>
          <w:bCs/>
        </w:rPr>
        <w:t xml:space="preserve">Figure 4.</w:t>
      </w:r>
      <w:r>
        <w:t xml:space="preserve"> </w:t>
      </w:r>
      <w:r>
        <w:t xml:space="preserve">actinn-jax accuracy and macro-F1 against input gene budget across all six Open</w:t>
      </w:r>
      <w:r>
        <w:t xml:space="preserve"> </w:t>
      </w:r>
      <w:r>
        <w:t xml:space="preserve">Problems datasets. More genes help most datasets but regress the fine-grained,</w:t>
      </w:r>
      <w:r>
        <w:t xml:space="preserve"> </w:t>
      </w:r>
      <w:r>
        <w:t xml:space="preserve">domain-shifted tabula_sapiens.</w:t>
      </w:r>
    </w:p>
    <w:p>
      <w:pPr>
        <w:pStyle w:val="BodyText"/>
      </w:pPr>
      <w:r>
        <w:drawing>
          <wp:inline>
            <wp:extent cx="5334000" cy="2293972"/>
            <wp:effectExtent b="0" l="0" r="0" t="0"/>
            <wp:docPr descr="gene budget signals" title="" id="68" name="Picture"/>
            <a:graphic>
              <a:graphicData uri="http://schemas.openxmlformats.org/drawingml/2006/picture">
                <pic:pic>
                  <pic:nvPicPr>
                    <pic:cNvPr descr="/Users/iandriver/Downloads/actinn-jax-benchmark/docs/figures/gene_budget_signals.png" id="69" name="Picture"/>
                    <pic:cNvPicPr>
                      <a:picLocks noChangeArrowheads="1" noChangeAspect="1"/>
                    </pic:cNvPicPr>
                  </pic:nvPicPr>
                  <pic:blipFill>
                    <a:blip r:embed="rId67"/>
                    <a:stretch>
                      <a:fillRect/>
                    </a:stretch>
                  </pic:blipFill>
                  <pic:spPr bwMode="auto">
                    <a:xfrm>
                      <a:off x="0" y="0"/>
                      <a:ext cx="5334000" cy="2293972"/>
                    </a:xfrm>
                    <a:prstGeom prst="rect">
                      <a:avLst/>
                    </a:prstGeom>
                    <a:noFill/>
                    <a:ln w="9525">
                      <a:noFill/>
                      <a:headEnd/>
                      <a:tailEnd/>
                    </a:ln>
                  </pic:spPr>
                </pic:pic>
              </a:graphicData>
            </a:graphic>
          </wp:inline>
        </w:drawing>
      </w:r>
    </w:p>
    <w:p>
      <w:pPr>
        <w:pStyle w:val="BodyText"/>
      </w:pPr>
      <w:r>
        <w:rPr>
          <w:b/>
          <w:bCs/>
        </w:rPr>
        <w:t xml:space="preserve">Figure 5.</w:t>
      </w:r>
      <w:r>
        <w:t xml:space="preserve"> </w:t>
      </w:r>
      <w:r>
        <w:t xml:space="preserve">Label-free signals for setting the gene budget without test labels. Held-out</w:t>
      </w:r>
      <w:r>
        <w:t xml:space="preserve"> </w:t>
      </w:r>
      <w:r>
        <w:t xml:space="preserve">reference cross-validation and query-cells-per-class both single out tabula_sapiens, the one</w:t>
      </w:r>
      <w:r>
        <w:t xml:space="preserve"> </w:t>
      </w:r>
      <w:r>
        <w:t xml:space="preserve">dataset where more genes hurt.</w:t>
      </w:r>
    </w:p>
    <w:bookmarkEnd w:id="70"/>
    <w:bookmarkEnd w:id="71"/>
    <w:bookmarkStart w:id="73" w:name="discussion"/>
    <w:p>
      <w:pPr>
        <w:pStyle w:val="Heading1"/>
      </w:pPr>
      <w:r>
        <w:t xml:space="preserve">Discussion</w:t>
      </w:r>
    </w:p>
    <w:p>
      <w:pPr>
        <w:pStyle w:val="FirstParagraph"/>
      </w:pPr>
      <w:r>
        <w:rPr>
          <w:b/>
          <w:bCs/>
        </w:rPr>
        <w:t xml:space="preserve">Method choice is now dominated by cost, not accuracy.</w:t>
      </w:r>
      <w:r>
        <w:t xml:space="preserve"> </w:t>
      </w:r>
      <w:r>
        <w:t xml:space="preserve">The five leading methods are</w:t>
      </w:r>
      <w:r>
        <w:t xml:space="preserve"> </w:t>
      </w:r>
      <w:r>
        <w:t xml:space="preserve">separated by 0.008 in mean accuracy and by ~130× in inference time (§3.1), so for most</w:t>
      </w:r>
      <w:r>
        <w:t xml:space="preserve"> </w:t>
      </w:r>
      <w:r>
        <w:t xml:space="preserve">annotation jobs the decision is made on the cost axes. On laptop-sized references the tuned</w:t>
      </w:r>
      <w:r>
        <w:t xml:space="preserve"> </w:t>
      </w:r>
      <w:r>
        <w:t xml:space="preserve">linear pipeline is the best of them on accuracy-per-second (0.839, fitting in 4.0 s); at</w:t>
      </w:r>
      <w:r>
        <w:t xml:space="preserve"> </w:t>
      </w:r>
      <w:r>
        <w:t xml:space="preserve">atlas scale ProtoCloud is the most accurate by a clear margin (0.976 vs 0.936 at 49k lung</w:t>
      </w:r>
      <w:r>
        <w:t xml:space="preserve"> </w:t>
      </w:r>
      <w:r>
        <w:t xml:space="preserve">cells; 0.905 vs 0.824 at 47k liver cells), having been below the cluster on the subsampled</w:t>
      </w:r>
      <w:r>
        <w:t xml:space="preserve"> </w:t>
      </w:r>
      <w:r>
        <w:t xml:space="preserve">matrix. actinn-jax’s place in that picture rests on a cost profile with two properties that</w:t>
      </w:r>
      <w:r>
        <w:t xml:space="preserve"> </w:t>
      </w:r>
      <w:r>
        <w:t xml:space="preserve">matter for repeated use rather than for a single labelling run.</w:t>
      </w:r>
    </w:p>
    <w:p>
      <w:pPr>
        <w:pStyle w:val="BodyText"/>
      </w:pPr>
      <w:r>
        <w:rPr>
          <w:i/>
          <w:iCs/>
        </w:rPr>
        <w:t xml:space="preserve">Footprint.</w:t>
      </w:r>
      <w:r>
        <w:t xml:space="preserve"> </w:t>
      </w:r>
      <w:r>
        <w:t xml:space="preserve">Inference is</w:t>
      </w:r>
      <w:r>
        <w:t xml:space="preserve"> </w:t>
      </w:r>
      <w:r>
        <w:rPr>
          <w:b/>
          <w:bCs/>
        </w:rPr>
        <w:t xml:space="preserve">sub-second and flat</w:t>
      </w:r>
      <w:r>
        <w:t xml:space="preserve"> </w:t>
      </w:r>
      <w:r>
        <w:t xml:space="preserve">— independent of reference size and</w:t>
      </w:r>
      <w:r>
        <w:t xml:space="preserve"> </w:t>
      </w:r>
      <w:r>
        <w:t xml:space="preserve">cardinality (§3.3) — so a query costs the same against a 1k-cell reference and a 49k-cell</w:t>
      </w:r>
      <w:r>
        <w:t xml:space="preserve"> </w:t>
      </w:r>
      <w:r>
        <w:t xml:space="preserve">one. Peak memory is unremarkable on small references (2.1 GB mean — seven of the ten other</w:t>
      </w:r>
      <w:r>
        <w:t xml:space="preserve"> </w:t>
      </w:r>
      <w:r>
        <w:t xml:space="preserve">methods are lighter), but it is the lowest of those we carried to</w:t>
      </w:r>
      <w:r>
        <w:t xml:space="preserve"> </w:t>
      </w:r>
      <w:r>
        <w:rPr>
          <w:b/>
          <w:bCs/>
        </w:rPr>
        <w:t xml:space="preserve">atlas scale</w:t>
      </w:r>
      <w:r>
        <w:t xml:space="preserve">:</w:t>
      </w:r>
      <w:r>
        <w:t xml:space="preserve"> </w:t>
      </w:r>
      <w:r>
        <w:t xml:space="preserve">~2× below the linear pipeline (6.1 vs 13.2 GB at 49k lung cells; 6.5 vs 12.6 GB at 47k liver</w:t>
      </w:r>
      <w:r>
        <w:t xml:space="preserve"> </w:t>
      </w:r>
      <w:r>
        <w:t xml:space="preserve">cells), and below scTOP above ~25k cells, where scTOP’s rank processing densifies and crosses</w:t>
      </w:r>
      <w:r>
        <w:t xml:space="preserve"> </w:t>
      </w:r>
      <w:r>
        <w:t xml:space="preserve">over (9.3 vs 6.5 GB at 47k). The advantage is bounded at ~2–3× rather than widening. Combined</w:t>
      </w:r>
      <w:r>
        <w:t xml:space="preserve"> </w:t>
      </w:r>
      <w:r>
        <w:t xml:space="preserve">with the train-once/map-many cache, a reused reference pays fit once and then only the flat</w:t>
      </w:r>
      <w:r>
        <w:t xml:space="preserve"> </w:t>
      </w:r>
      <w:r>
        <w:t xml:space="preserve">predict cost, where the linear pipeline refits scaler/PCA/classifier for every query.</w:t>
      </w:r>
    </w:p>
    <w:p>
      <w:pPr>
        <w:pStyle w:val="BodyText"/>
      </w:pPr>
      <w:r>
        <w:rPr>
          <w:i/>
          <w:iCs/>
        </w:rPr>
        <w:t xml:space="preserve">Those two properties are what the workflows are built on.</w:t>
      </w:r>
      <w:r>
        <w:t xml:space="preserve"> </w:t>
      </w:r>
      <w:r>
        <w:t xml:space="preserve">The practical gains come not from</w:t>
      </w:r>
      <w:r>
        <w:t xml:space="preserve"> </w:t>
      </w:r>
      <w:r>
        <w:t xml:space="preserve">the flat classifier but from the</w:t>
      </w:r>
      <w:r>
        <w:t xml:space="preserve"> </w:t>
      </w:r>
      <w:r>
        <w:rPr>
          <w:b/>
          <w:bCs/>
        </w:rPr>
        <w:t xml:space="preserve">large→refined</w:t>
      </w:r>
      <w:r>
        <w:t xml:space="preserve"> </w:t>
      </w:r>
      <w:r>
        <w:t xml:space="preserve">pipeline (§3.4): a census-scale broad model</w:t>
      </w:r>
      <w:r>
        <w:t xml:space="preserve"> </w:t>
      </w:r>
      <w:r>
        <w:t xml:space="preserve">with a calibrated abstain routes a query to a small focused reference that re-annotates at</w:t>
      </w:r>
      <w:r>
        <w:t xml:space="preserve"> </w:t>
      </w:r>
      <w:r>
        <w:t xml:space="preserve">full resolution (cross-study liver 0.23/0.58 → 0.72/0.86), with zonation as a further stage.</w:t>
      </w:r>
      <w:r>
        <w:t xml:space="preserve"> </w:t>
      </w:r>
      <w:r>
        <w:t xml:space="preserve">The pipeline is only usable because each hop is cheap — a flat sub-second call against a</w:t>
      </w:r>
      <w:r>
        <w:t xml:space="preserve"> </w:t>
      </w:r>
      <w:r>
        <w:t xml:space="preserve">cached model, at bounded memory — so several models can be chained, and a large reference</w:t>
      </w:r>
      <w:r>
        <w:t xml:space="preserve"> </w:t>
      </w:r>
      <w:r>
        <w:t xml:space="preserve">kept resident, on a laptop without a GPU. A method that is a few points more accurate but</w:t>
      </w:r>
      <w:r>
        <w:t xml:space="preserve"> </w:t>
      </w:r>
      <w:r>
        <w:t xml:space="preserve">pays a full fit per query, or a multi-gigabyte dense expansion per stage, does not compose the</w:t>
      </w:r>
      <w:r>
        <w:t xml:space="preserve"> </w:t>
      </w:r>
      <w:r>
        <w:t xml:space="preserve">same way.</w:t>
      </w:r>
    </w:p>
    <w:p>
      <w:pPr>
        <w:pStyle w:val="BodyText"/>
      </w:pPr>
      <w:r>
        <w:rPr>
          <w:i/>
          <w:iCs/>
        </w:rPr>
        <w:t xml:space="preserve">Where it loses, and why.</w:t>
      </w:r>
      <w:r>
        <w:t xml:space="preserve"> </w:t>
      </w:r>
      <w:r>
        <w:t xml:space="preserve">actinn-jax trails on small references and very-few-cells-per-type</w:t>
      </w:r>
      <w:r>
        <w:t xml:space="preserve"> </w:t>
      </w:r>
      <w:r>
        <w:t xml:space="preserve">sets (§3.1, §5), and — a finding from the OP analysis — it is sensitive to input budget under</w:t>
      </w:r>
      <w:r>
        <w:t xml:space="preserve"> </w:t>
      </w:r>
      <w:r>
        <w:t xml:space="preserve">domain shift: more genes help most datasets but overfit a tiny, fine-grained, shifted query</w:t>
      </w:r>
      <w:r>
        <w:t xml:space="preserve"> </w:t>
      </w:r>
      <w:r>
        <w:t xml:space="preserve">(tabula_sapiens). The two cheapest levers are principled and label-free:</w:t>
      </w:r>
      <w:r>
        <w:t xml:space="preserve"> </w:t>
      </w:r>
      <w:r>
        <w:rPr>
          <w:b/>
          <w:bCs/>
        </w:rPr>
        <w:t xml:space="preserve">standardization</w:t>
      </w:r>
      <w:r>
        <w:t xml:space="preserve"> </w:t>
      </w:r>
      <w:r>
        <w:t xml:space="preserve">(a scArches-style domain alignment) and a</w:t>
      </w:r>
      <w:r>
        <w:t xml:space="preserve"> </w:t>
      </w:r>
      <w:r>
        <w:rPr>
          <w:b/>
          <w:bCs/>
        </w:rPr>
        <w:t xml:space="preserve">gene budget chosen by</w:t>
      </w:r>
      <w:r>
        <w:rPr>
          <w:b/>
          <w:bCs/>
        </w:rPr>
        <w:t xml:space="preserve"> </w:t>
      </w:r>
      <w:r>
        <w:rPr>
          <w:b/>
          <w:bCs/>
        </w:rPr>
        <w:t xml:space="preserve">cross-validation on the reference alone</w:t>
      </w:r>
      <w:r>
        <w:t xml:space="preserve"> </w:t>
      </w:r>
      <w:r>
        <w:t xml:space="preserve">both improve the model without peeking at test labels, and at a fair gene budget</w:t>
      </w:r>
      <w:r>
        <w:t xml:space="preserve"> </w:t>
      </w:r>
      <w:r>
        <w:t xml:space="preserve">the gene-space MLP</w:t>
      </w:r>
      <w:r>
        <w:t xml:space="preserve"> </w:t>
      </w:r>
      <w:r>
        <w:rPr>
          <w:i/>
          <w:iCs/>
        </w:rPr>
        <w:t xml:space="preserve">matches the leaderboard’s top method</w:t>
      </w:r>
      <w:r>
        <w:t xml:space="preserve"> </w:t>
      </w:r>
      <w:r>
        <w:t xml:space="preserve">on the datasets both complete —</w:t>
      </w:r>
      <w:r>
        <w:t xml:space="preserve"> </w:t>
      </w:r>
      <w:r>
        <w:t xml:space="preserve">In other words, much of what looked like a deficit of the</w:t>
      </w:r>
      <w:r>
        <w:t xml:space="preserve"> </w:t>
      </w:r>
      <w:r>
        <w:rPr>
          <w:i/>
          <w:iCs/>
        </w:rPr>
        <w:t xml:space="preserve">model</w:t>
      </w:r>
      <w:r>
        <w:t xml:space="preserve"> </w:t>
      </w:r>
      <w:r>
        <w:t xml:space="preserve">was a deficit of its</w:t>
      </w:r>
      <w:r>
        <w:t xml:space="preserve"> </w:t>
      </w:r>
      <w:r>
        <w:rPr>
          <w:b/>
          <w:bCs/>
        </w:rPr>
        <w:t xml:space="preserve">input</w:t>
      </w:r>
      <w:r>
        <w:t xml:space="preserve">: the benchmark hands every method 1,000 highly variable genes, which is a far</w:t>
      </w:r>
      <w:r>
        <w:t xml:space="preserve"> </w:t>
      </w:r>
      <w:r>
        <w:t xml:space="preserve">harsher constraint on a model reading gene space directly than on one that learns a</w:t>
      </w:r>
      <w:r>
        <w:t xml:space="preserve"> </w:t>
      </w:r>
      <w:r>
        <w:t xml:space="preserve">compressed representation first. Widen the gene panel and most of the gap closes — so the</w:t>
      </w:r>
      <w:r>
        <w:t xml:space="preserve"> </w:t>
      </w:r>
      <w:r>
        <w:t xml:space="preserve">quantity being measured was partly</w:t>
      </w:r>
      <w:r>
        <w:t xml:space="preserve"> </w:t>
      </w:r>
      <w:r>
        <w:t xml:space="preserve">“how well does each method tolerate a narrow input”</w:t>
      </w:r>
      <w:r>
        <w:t xml:space="preserve">,</w:t>
      </w:r>
      <w:r>
        <w:t xml:space="preserve"> </w:t>
      </w:r>
      <w:r>
        <w:t xml:space="preserve">not</w:t>
      </w:r>
      <w:r>
        <w:t xml:space="preserve"> </w:t>
      </w:r>
      <w:r>
        <w:t xml:space="preserve">“which model class is stronger”</w:t>
      </w:r>
      <w:r>
        <w:t xml:space="preserve">.</w:t>
      </w:r>
    </w:p>
    <w:p>
      <w:pPr>
        <w:pStyle w:val="BodyText"/>
      </w:pPr>
      <w:r>
        <w:rPr>
          <w:i/>
          <w:iCs/>
        </w:rPr>
        <w:t xml:space="preserve">Foundation models.</w:t>
      </w:r>
      <w:r>
        <w:t xml:space="preserve"> </w:t>
      </w:r>
      <w:r>
        <w:t xml:space="preserve">Their</w:t>
      </w:r>
      <w:r>
        <w:t xml:space="preserve"> </w:t>
      </w:r>
      <w:r>
        <w:rPr>
          <w:b/>
          <w:bCs/>
        </w:rPr>
        <w:t xml:space="preserve">zero-shot labels</w:t>
      </w:r>
      <w:r>
        <w:t xml:space="preserve"> </w:t>
      </w:r>
      <w:r>
        <w:t xml:space="preserve">are the weakest option in both benchmarks</w:t>
      </w:r>
      <w:r>
        <w:t xml:space="preserve"> </w:t>
      </w:r>
      <w:r>
        <w:t xml:space="preserve">(scPRINT, scGPT, UCE ≈ random); their</w:t>
      </w:r>
      <w:r>
        <w:t xml:space="preserve"> </w:t>
      </w:r>
      <w:r>
        <w:rPr>
          <w:b/>
          <w:bCs/>
        </w:rPr>
        <w:t xml:space="preserve">embeddings/structure</w:t>
      </w:r>
      <w:r>
        <w:t xml:space="preserve"> </w:t>
      </w:r>
      <w:r>
        <w:t xml:space="preserve">are where the value lies, and</w:t>
      </w:r>
      <w:r>
        <w:t xml:space="preserve"> </w:t>
      </w:r>
      <w:r>
        <w:t xml:space="preserve">our two-stage hierarchy uses exactly that. A cheap CPU shortcut to a foundation-model</w:t>
      </w:r>
      <w:r>
        <w:t xml:space="preserve"> </w:t>
      </w:r>
      <w:r>
        <w:t xml:space="preserve">representation (protein-embedding pooling) did</w:t>
      </w:r>
      <w:r>
        <w:t xml:space="preserve"> </w:t>
      </w:r>
      <w:r>
        <w:rPr>
          <w:i/>
          <w:iCs/>
        </w:rPr>
        <w:t xml:space="preserve">not</w:t>
      </w:r>
      <w:r>
        <w:t xml:space="preserve"> </w:t>
      </w:r>
      <w:r>
        <w:t xml:space="preserve">transfer (§3.7), underscoring that the</w:t>
      </w:r>
      <w:r>
        <w:t xml:space="preserve"> </w:t>
      </w:r>
      <w:r>
        <w:t xml:space="preserve">value is in the trained transformer, not a portable trick. The concurrent</w:t>
      </w:r>
      <w:r>
        <w:t xml:space="preserve"> </w:t>
      </w:r>
      <w:r>
        <w:rPr>
          <w:b/>
          <w:bCs/>
        </w:rPr>
        <w:t xml:space="preserve">Pan-human</w:t>
      </w:r>
      <w:r>
        <w:rPr>
          <w:b/>
          <w:bCs/>
        </w:rPr>
        <w:t xml:space="preserve"> </w:t>
      </w:r>
      <w:r>
        <w:rPr>
          <w:b/>
          <w:bCs/>
        </w:rPr>
        <w:t xml:space="preserve">Azimuth</w:t>
      </w:r>
      <w:r>
        <w:t xml:space="preserve"> </w:t>
      </w:r>
      <w:r>
        <w:t xml:space="preserve">effort reaches the same conclusion from a far larger curated corpus: a</w:t>
      </w:r>
      <w:r>
        <w:t xml:space="preserve"> </w:t>
      </w:r>
      <w:r>
        <w:t xml:space="preserve">7M-parameter supervised hierarchical MLP over a 5,055-gene panel yields cleaner annotations</w:t>
      </w:r>
      <w:r>
        <w:t xml:space="preserve"> </w:t>
      </w:r>
      <w:r>
        <w:t xml:space="preserve">than scGPT and SCimilarity, whose labels they find fragmented and mis-transferred. Their</w:t>
      </w:r>
      <w:r>
        <w:t xml:space="preserve"> </w:t>
      </w:r>
      <w:r>
        <w:t xml:space="preserve">stated theme — that training-data quality and organization matter as much as architecture or</w:t>
      </w:r>
      <w:r>
        <w:t xml:space="preserve"> </w:t>
      </w:r>
      <w:r>
        <w:t xml:space="preserve">scale — and their finding that accuracy</w:t>
      </w:r>
      <w:r>
        <w:t xml:space="preserve"> </w:t>
      </w:r>
      <w:r>
        <w:rPr>
          <w:b/>
          <w:bCs/>
        </w:rPr>
        <w:t xml:space="preserve">saturates past ~5M training cells</w:t>
      </w:r>
      <w:r>
        <w:t xml:space="preserve"> </w:t>
      </w:r>
      <w:r>
        <w:t xml:space="preserve">(S13) are independent support, from a group with</w:t>
      </w:r>
      <w:r>
        <w:t xml:space="preserve"> </w:t>
      </w:r>
      <w:r>
        <w:t xml:space="preserve">no stake in our conclusion, for both halves of our reading.</w:t>
      </w:r>
    </w:p>
    <w:p>
      <w:pPr>
        <w:pStyle w:val="BodyText"/>
      </w:pPr>
      <w:r>
        <w:rPr>
          <w:i/>
          <w:iCs/>
        </w:rPr>
        <w:t xml:space="preserve">When extra expressivity pays.</w:t>
      </w:r>
      <w:r>
        <w:t xml:space="preserve"> </w:t>
      </w:r>
      <w:r>
        <w:t xml:space="preserve">Two lines of evidence bear on this. First,</w:t>
      </w:r>
      <w:r>
        <w:t xml:space="preserve"> </w:t>
      </w:r>
      <w:r>
        <w:rPr>
          <w:b/>
          <w:bCs/>
        </w:rPr>
        <w:t xml:space="preserve">ProtoCloud</w:t>
      </w:r>
      <w:r>
        <w:t xml:space="preserve"> </w:t>
      </w:r>
      <w:r>
        <w:t xml:space="preserve">—</w:t>
      </w:r>
      <w:r>
        <w:t xml:space="preserve"> </w:t>
      </w:r>
      <w:r>
        <w:t xml:space="preserve">a prototype-based, self-explaining VAE with built-in uncertainty and gene-level attribution,</w:t>
      </w:r>
      <w:r>
        <w:t xml:space="preserve"> </w:t>
      </w:r>
      <w:r>
        <w:t xml:space="preserve">a strictly richer model than ours — does not sit a fixed distance above or below us. Where it</w:t>
      </w:r>
      <w:r>
        <w:t xml:space="preserve"> </w:t>
      </w:r>
      <w:r>
        <w:t xml:space="preserve">lands depends on how much reference data it is given: below the top cluster on the subsampled</w:t>
      </w:r>
      <w:r>
        <w:t xml:space="preserve"> </w:t>
      </w:r>
      <w:r>
        <w:t xml:space="preserve">matrix, ahead on lung, and the strongest method of all at atlas scale (§3.1, §5), at ~9× actinn-jax’s CPU fit time (146 vs 16 s mean)</w:t>
      </w:r>
      <w:r>
        <w:t xml:space="preserve"> </w:t>
      </w:r>
      <w:r>
        <w:t xml:space="preserve">(S2). The richer model pays off where it has the data to</w:t>
      </w:r>
      <w:r>
        <w:t xml:space="preserve"> </w:t>
      </w:r>
      <w:r>
        <w:t xml:space="preserve">support it, and not before — which is an argument for matching model capacity to reference</w:t>
      </w:r>
      <w:r>
        <w:t xml:space="preserve"> </w:t>
      </w:r>
      <w:r>
        <w:t xml:space="preserve">size, not for preferring small models everywhere. Second, and more broadly,</w:t>
      </w:r>
      <w:r>
        <w:t xml:space="preserve"> </w:t>
      </w:r>
      <w:r>
        <w:t xml:space="preserve">Souza &amp; Mehta</w:t>
      </w:r>
      <w:r>
        <w:t xml:space="preserve"> </w:t>
      </w:r>
      <w:hyperlink r:id="rId72">
        <w:r>
          <w:rPr>
            <w:rStyle w:val="Hyperlink"/>
          </w:rPr>
          <w:t xml:space="preserve">[Souza &amp; Mehta 2026]</w:t>
        </w:r>
      </w:hyperlink>
      <w:r>
        <w:t xml:space="preserve"> </w:t>
      </w:r>
      <w:r>
        <w:t xml:space="preserve">report that</w:t>
      </w:r>
      <w:r>
        <w:t xml:space="preserve"> </w:t>
      </w:r>
      <w:r>
        <w:rPr>
          <w:b/>
          <w:bCs/>
        </w:rPr>
        <w:t xml:space="preserve">parameter-free linear representations</w:t>
      </w:r>
      <w:r>
        <w:t xml:space="preserve"> </w:t>
      </w:r>
      <w:r>
        <w:t xml:space="preserve">match or exceed single-cell foundation models across</w:t>
      </w:r>
      <w:r>
        <w:t xml:space="preserve"> </w:t>
      </w:r>
      <w:r>
        <w:t xml:space="preserve">cross-species transfer, human cell-type classification and disease-state prediction — on</w:t>
      </w:r>
      <w:r>
        <w:t xml:space="preserve"> </w:t>
      </w:r>
      <w:r>
        <w:t xml:space="preserve">Tabula Sapiens 2.0 their normalize→ANOVA→PCA→logistic-regression pipeline reaches mean</w:t>
      </w:r>
      <w:r>
        <w:t xml:space="preserve"> </w:t>
      </w:r>
      <w:r>
        <w:t xml:space="preserve">macro-F1 0.899 against 0.907–0.910 for TranscriptFormer variants — and they offer a geometric</w:t>
      </w:r>
      <w:r>
        <w:t xml:space="preserve"> </w:t>
      </w:r>
      <w:r>
        <w:t xml:space="preserve">explanation: the biologically realized cell manifold is well approximated by a</w:t>
      </w:r>
      <w:r>
        <w:t xml:space="preserve"> </w:t>
      </w:r>
      <w:r>
        <w:rPr>
          <w:b/>
          <w:bCs/>
        </w:rPr>
        <w:t xml:space="preserve">linear</w:t>
      </w:r>
      <w:r>
        <w:rPr>
          <w:b/>
          <w:bCs/>
        </w:rPr>
        <w:t xml:space="preserve"> </w:t>
      </w:r>
      <w:r>
        <w:rPr>
          <w:b/>
          <w:bCs/>
        </w:rPr>
        <w:t xml:space="preserve">subspace</w:t>
      </w:r>
      <w:r>
        <w:t xml:space="preserve">, so once noise is suppressed performance</w:t>
      </w:r>
      <w:r>
        <w:t xml:space="preserve"> </w:t>
      </w:r>
      <w:r>
        <w:rPr>
          <w:i/>
          <w:iCs/>
        </w:rPr>
        <w:t xml:space="preserve">saturates</w:t>
      </w:r>
      <w:r>
        <w:t xml:space="preserve"> </w:t>
      </w:r>
      <w:r>
        <w:t xml:space="preserve">and extra expressivity buys</w:t>
      </w:r>
      <w:r>
        <w:t xml:space="preserve"> </w:t>
      </w:r>
      <w:r>
        <w:t xml:space="preserve">little. That is a principled account of why a four-layer MLP over normalized gene space stays</w:t>
      </w:r>
      <w:r>
        <w:t xml:space="preserve"> </w:t>
      </w:r>
      <w:r>
        <w:t xml:space="preserve">competitive, and it matches our own finding that the residual gap to heavier methods was mostly</w:t>
      </w:r>
      <w:r>
        <w:t xml:space="preserve"> </w:t>
      </w:r>
      <w:r>
        <w:rPr>
          <w:b/>
          <w:bCs/>
        </w:rPr>
        <w:t xml:space="preserve">the size of the input each method was given rather than the class of model</w:t>
      </w:r>
      <w:r>
        <w:t xml:space="preserve"> </w:t>
      </w:r>
      <w:r>
        <w:t xml:space="preserve">(§3.7). They</w:t>
      </w:r>
      <w:r>
        <w:t xml:space="preserve"> </w:t>
      </w:r>
      <w:r>
        <w:t xml:space="preserve">further find that simple methods hold</w:t>
      </w:r>
      <w:r>
        <w:t xml:space="preserve"> </w:t>
      </w:r>
      <w:r>
        <w:t xml:space="preserve">up</w:t>
      </w:r>
      <w:r>
        <w:t xml:space="preserve"> </w:t>
      </w:r>
      <w:r>
        <w:rPr>
          <w:i/>
          <w:iCs/>
        </w:rPr>
        <w:t xml:space="preserve">best</w:t>
      </w:r>
      <w:r>
        <w:t xml:space="preserve"> </w:t>
      </w:r>
      <w:r>
        <w:t xml:space="preserve">out-of-distribution — on novel cell types and unseen organisms. That matters for the</w:t>
      </w:r>
      <w:r>
        <w:t xml:space="preserve"> </w:t>
      </w:r>
      <w:r>
        <w:t xml:space="preserve">abstain mechanism of §3.5, which is only useful if low confidence tracks genuine novelty</w:t>
      </w:r>
      <w:r>
        <w:t xml:space="preserve"> </w:t>
      </w:r>
      <w:r>
        <w:t xml:space="preserve">rather than model noise. A method that degrades gradually on unfamiliar data still assigns</w:t>
      </w:r>
      <w:r>
        <w:t xml:space="preserve"> </w:t>
      </w:r>
      <w:r>
        <w:t xml:space="preserve">lower confidence to the cells it is getting wrong, so a threshold separates them; a method</w:t>
      </w:r>
      <w:r>
        <w:t xml:space="preserve"> </w:t>
      </w:r>
      <w:r>
        <w:t xml:space="preserve">that degrades abruptly can be confidently wrong, and no threshold helps.</w:t>
      </w:r>
    </w:p>
    <w:p>
      <w:pPr>
        <w:pStyle w:val="BodyText"/>
      </w:pPr>
      <w:r>
        <w:rPr>
          <w:b/>
          <w:bCs/>
        </w:rPr>
        <w:t xml:space="preserve">Practical guidance.</w:t>
      </w:r>
      <w:r>
        <w:t xml:space="preserve"> </w:t>
      </w:r>
      <w:r>
        <w:t xml:space="preserve">For a</w:t>
      </w:r>
      <w:r>
        <w:t xml:space="preserve"> </w:t>
      </w:r>
      <w:r>
        <w:rPr>
          <w:b/>
          <w:bCs/>
        </w:rPr>
        <w:t xml:space="preserve">one-off annotation</w:t>
      </w:r>
      <w:r>
        <w:t xml:space="preserve"> </w:t>
      </w:r>
      <w:r>
        <w:t xml:space="preserve">on laptop-sized data, use the</w:t>
      </w:r>
      <w:r>
        <w:t xml:space="preserve"> </w:t>
      </w:r>
      <w:r>
        <w:rPr>
          <w:b/>
          <w:bCs/>
        </w:rPr>
        <w:t xml:space="preserve">tuned</w:t>
      </w:r>
      <w:r>
        <w:rPr>
          <w:b/>
          <w:bCs/>
        </w:rPr>
        <w:t xml:space="preserve"> </w:t>
      </w:r>
      <w:r>
        <w:rPr>
          <w:b/>
          <w:bCs/>
        </w:rPr>
        <w:t xml:space="preserve">linear pipeline</w:t>
      </w:r>
      <w:r>
        <w:t xml:space="preserve"> </w:t>
      </w:r>
      <w:r>
        <w:t xml:space="preserve">(normalize → ANOVA → PCA → logistic regression): it is the most</w:t>
      </w:r>
      <w:r>
        <w:t xml:space="preserve"> </w:t>
      </w:r>
      <w:r>
        <w:t xml:space="preserve">accurate-per-second method here. With a</w:t>
      </w:r>
      <w:r>
        <w:t xml:space="preserve"> </w:t>
      </w:r>
      <w:r>
        <w:rPr>
          <w:b/>
          <w:bCs/>
        </w:rPr>
        <w:t xml:space="preserve">real atlas and time to train</w:t>
      </w:r>
      <w:r>
        <w:t xml:space="preserve">,</w:t>
      </w:r>
      <w:r>
        <w:t xml:space="preserve"> </w:t>
      </w:r>
      <w:r>
        <w:rPr>
          <w:b/>
          <w:bCs/>
        </w:rPr>
        <w:t xml:space="preserve">ProtoCloud</w:t>
      </w:r>
      <w:r>
        <w:t xml:space="preserve"> </w:t>
      </w:r>
      <w:r>
        <w:t xml:space="preserve">is</w:t>
      </w:r>
      <w:r>
        <w:t xml:space="preserve"> </w:t>
      </w:r>
      <w:r>
        <w:t xml:space="preserve">the most accurate method we benchmarked (0.976 at 49k cells), and the GPU it targets makes</w:t>
      </w:r>
      <w:r>
        <w:t xml:space="preserve"> </w:t>
      </w:r>
      <w:r>
        <w:t xml:space="preserve">its 19× CPU fit cost much less punishing in practice.</w:t>
      </w:r>
      <w:r>
        <w:t xml:space="preserve"> </w:t>
      </w:r>
      <w:r>
        <w:rPr>
          <w:b/>
          <w:bCs/>
        </w:rPr>
        <w:t xml:space="preserve">scTOP</w:t>
      </w:r>
      <w:r>
        <w:t xml:space="preserve"> </w:t>
      </w:r>
      <w:r>
        <w:t xml:space="preserve">suits small, low-cardinality</w:t>
      </w:r>
      <w:r>
        <w:t xml:space="preserve"> </w:t>
      </w:r>
      <w:r>
        <w:t xml:space="preserve">problems, where it is by far the cheapest (~1 s) and competitive.</w:t>
      </w:r>
      <w:r>
        <w:t xml:space="preserve"> </w:t>
      </w:r>
      <w:r>
        <w:rPr>
          <w:b/>
          <w:bCs/>
        </w:rPr>
        <w:t xml:space="preserve">actinn-jax</w:t>
      </w:r>
      <w:r>
        <w:t xml:space="preserve"> </w:t>
      </w:r>
      <w:r>
        <w:t xml:space="preserve">fits the</w:t>
      </w:r>
      <w:r>
        <w:t xml:space="preserve"> </w:t>
      </w:r>
      <w:r>
        <w:t xml:space="preserve">cases its cost profile is shaped for: when</w:t>
      </w:r>
      <w:r>
        <w:t xml:space="preserve"> </w:t>
      </w:r>
      <w:r>
        <w:rPr>
          <w:b/>
          <w:bCs/>
        </w:rPr>
        <w:t xml:space="preserve">memory is the binding constraint</w:t>
      </w:r>
      <w:r>
        <w:t xml:space="preserve"> </w:t>
      </w:r>
      <w:r>
        <w:t xml:space="preserve">(~2× lighter</w:t>
      </w:r>
      <w:r>
        <w:t xml:space="preserve"> </w:t>
      </w:r>
      <w:r>
        <w:t xml:space="preserve">than the linear pipeline at scale, with memory-bounded chunked inference), when a reference</w:t>
      </w:r>
      <w:r>
        <w:t xml:space="preserve"> </w:t>
      </w:r>
      <w:r>
        <w:t xml:space="preserve">is</w:t>
      </w:r>
      <w:r>
        <w:t xml:space="preserve"> </w:t>
      </w:r>
      <w:r>
        <w:rPr>
          <w:b/>
          <w:bCs/>
        </w:rPr>
        <w:t xml:space="preserve">reused</w:t>
      </w:r>
      <w:r>
        <w:t xml:space="preserve"> </w:t>
      </w:r>
      <w:r>
        <w:t xml:space="preserve">across many queries (the cached model amortizes the fit), and when the job is</w:t>
      </w:r>
      <w:r>
        <w:t xml:space="preserve"> </w:t>
      </w:r>
      <w:r>
        <w:t xml:space="preserve">the</w:t>
      </w:r>
      <w:r>
        <w:t xml:space="preserve"> </w:t>
      </w:r>
      <w:r>
        <w:rPr>
          <w:b/>
          <w:bCs/>
        </w:rPr>
        <w:t xml:space="preserve">multi-stage workflow</w:t>
      </w:r>
      <w:r>
        <w:t xml:space="preserve"> </w:t>
      </w:r>
      <w:r>
        <w:t xml:space="preserve">rather than a single label — broad→refined hand-off, tissue-aware</w:t>
      </w:r>
      <w:r>
        <w:t xml:space="preserve"> </w:t>
      </w:r>
      <w:r>
        <w:t xml:space="preserve">refinement, calibrated abstain, novel-cell-type screening.</w:t>
      </w:r>
    </w:p>
    <w:p>
      <w:pPr>
        <w:pStyle w:val="BodyText"/>
      </w:pPr>
      <w:r>
        <w:t xml:space="preserve">For the</w:t>
      </w:r>
      <w:r>
        <w:t xml:space="preserve"> </w:t>
      </w:r>
      <w:r>
        <w:rPr>
          <w:b/>
          <w:bCs/>
        </w:rPr>
        <w:t xml:space="preserve">broad pass specifically, prefer a purpose-built pan-human model</w:t>
      </w:r>
      <w:r>
        <w:t xml:space="preserve">:</w:t>
      </w:r>
      <w:r>
        <w:t xml:space="preserve"> </w:t>
      </w:r>
      <w:r>
        <w:rPr>
          <w:b/>
          <w:bCs/>
        </w:rPr>
        <w:t xml:space="preserve">Pan-human</w:t>
      </w:r>
      <w:r>
        <w:rPr>
          <w:b/>
          <w:bCs/>
        </w:rPr>
        <w:t xml:space="preserve"> </w:t>
      </w:r>
      <w:r>
        <w:rPr>
          <w:b/>
          <w:bCs/>
        </w:rPr>
        <w:t xml:space="preserve">Azimuth</w:t>
      </w:r>
      <w:r>
        <w:t xml:space="preserve"> </w:t>
      </w:r>
      <w:r>
        <w:t xml:space="preserve">(S13) ships a pretrained hierarchical</w:t>
      </w:r>
      <w:r>
        <w:t xml:space="preserve"> </w:t>
      </w:r>
      <w:r>
        <w:t xml:space="preserve">classifier over a harmonized organism-wide typology (8 levels, 382 leaf types, trained on</w:t>
      </w:r>
      <w:r>
        <w:t xml:space="preserve"> </w:t>
      </w:r>
      <w:r>
        <w:t xml:space="preserve">9.7M curated cells), with abstention learned rather than thresholded and an</w:t>
      </w:r>
      <w:r>
        <w:t xml:space="preserve"> </w:t>
      </w:r>
      <w:r>
        <w:rPr>
          <w:b/>
          <w:bCs/>
        </w:rPr>
        <w:t xml:space="preserve">expected</w:t>
      </w:r>
      <w:r>
        <w:rPr>
          <w:b/>
          <w:bCs/>
        </w:rPr>
        <w:t xml:space="preserve"> </w:t>
      </w:r>
      <w:r>
        <w:rPr>
          <w:b/>
          <w:bCs/>
        </w:rPr>
        <w:t xml:space="preserve">calibration error (ECE)</w:t>
      </w:r>
      <w:r>
        <w:t xml:space="preserve"> </w:t>
      </w:r>
      <w:r>
        <w:t xml:space="preserve">of 0.0044 — meaning its stated confidence sits within half a</w:t>
      </w:r>
      <w:r>
        <w:t xml:space="preserve"> </w:t>
      </w:r>
      <w:r>
        <w:t xml:space="preserve">percentage point of its observed accuracy — running at ~1,000 cells/s on a laptop. It is better resourced than</w:t>
      </w:r>
      <w:r>
        <w:t xml:space="preserve"> </w:t>
      </w:r>
      <w:r>
        <w:t xml:space="preserve">our census-built reference and we make no claim to improve on its annotations. What we do</w:t>
      </w:r>
      <w:r>
        <w:t xml:space="preserve"> </w:t>
      </w:r>
      <w:r>
        <w:t xml:space="preserve">with it instead is</w:t>
      </w:r>
      <w:r>
        <w:t xml:space="preserve"> </w:t>
      </w:r>
      <w:r>
        <w:rPr>
          <w:b/>
          <w:bCs/>
        </w:rPr>
        <w:t xml:space="preserve">use it</w:t>
      </w:r>
      <w:r>
        <w:t xml:space="preserve">: distilling its labels and its hierarchy into actinn-jax</w:t>
      </w:r>
      <w:r>
        <w:t xml:space="preserve"> </w:t>
      </w:r>
      <w:r>
        <w:t xml:space="preserve">produces a broad-pass model of comparable accuracy at six to nine times its throughput, built</w:t>
      </w:r>
      <w:r>
        <w:t xml:space="preserve"> </w:t>
      </w:r>
      <w:r>
        <w:t xml:space="preserve">without a GPU and without labeled data (§3.4). A curated pan-human model is the right thing</w:t>
      </w:r>
      <w:r>
        <w:t xml:space="preserve"> </w:t>
      </w:r>
      <w:r>
        <w:t xml:space="preserve">to start from; a small fast model is the right thing to iterate with.</w:t>
      </w:r>
    </w:p>
    <w:p>
      <w:pPr>
        <w:pStyle w:val="BodyText"/>
      </w:pPr>
      <w:r>
        <w:t xml:space="preserve">The part of any fixed typology that cannot be performed is the</w:t>
      </w:r>
      <w:r>
        <w:t xml:space="preserve"> </w:t>
      </w:r>
      <w:r>
        <w:rPr>
          <w:b/>
          <w:bCs/>
        </w:rPr>
        <w:t xml:space="preserve">hand-off</w:t>
      </w:r>
      <w:r>
        <w:t xml:space="preserve">: it cannot</w:t>
      </w:r>
      <w:r>
        <w:t xml:space="preserve"> </w:t>
      </w:r>
      <w:r>
        <w:t xml:space="preserve">re-annotate into a user’s own focused label set (the HLiCA liver reference, cross-study</w:t>
      </w:r>
      <w:r>
        <w:t xml:space="preserve"> </w:t>
      </w:r>
      <w:r>
        <w:t xml:space="preserve">0.23/0.58 → 0.72/0.86) or resolve states below a leaf (hepatocyte zonation). ProtoCloud</w:t>
      </w:r>
      <w:r>
        <w:t xml:space="preserve"> </w:t>
      </w:r>
      <w:r>
        <w:t xml:space="preserve">likewise provides uncertainty, gene attribution and a refinement path (fine-tuning a</w:t>
      </w:r>
      <w:r>
        <w:t xml:space="preserve"> </w:t>
      </w:r>
      <w:r>
        <w:t xml:space="preserve">pretrained model). What survives as distinct to actinn-jax is therefore not the breadth of</w:t>
      </w:r>
      <w:r>
        <w:t xml:space="preserve"> </w:t>
      </w:r>
      <w:r>
        <w:t xml:space="preserve">the broad reference but</w:t>
      </w:r>
      <w:r>
        <w:t xml:space="preserve"> </w:t>
      </w:r>
      <w:r>
        <w:rPr>
          <w:b/>
          <w:bCs/>
        </w:rPr>
        <w:t xml:space="preserve">the chain it enables</w:t>
      </w:r>
      <w:r>
        <w:t xml:space="preserve"> </w:t>
      </w:r>
      <w:r>
        <w:t xml:space="preserve">— start pan-human, re-annotate into label</w:t>
      </w:r>
      <w:r>
        <w:t xml:space="preserve"> </w:t>
      </w:r>
      <w:r>
        <w:t xml:space="preserve">sets no pretrained model carries, screen what none of them claims — at a cost that keeps</w:t>
      </w:r>
      <w:r>
        <w:t xml:space="preserve"> </w:t>
      </w:r>
      <w:r>
        <w:t xml:space="preserve">every stage on a laptop. The distillation recipe is not specific to this teacher or to</w:t>
      </w:r>
      <w:r>
        <w:t xml:space="preserve"> </w:t>
      </w:r>
      <w:r>
        <w:t xml:space="preserve">humans: it needs a pretrained annotator whose typology can be read off its outputs, so</w:t>
      </w:r>
      <w:r>
        <w:t xml:space="preserve"> </w:t>
      </w:r>
      <w:r>
        <w:t xml:space="preserve">extending the same entry point to other organisms is a matter of finding one (or building</w:t>
      </w:r>
      <w:r>
        <w:t xml:space="preserve"> </w:t>
      </w:r>
      <w:r>
        <w:t xml:space="preserve">the broad-pass reference from a labeled census slice, as §3.4’s census route does).</w:t>
      </w:r>
    </w:p>
    <w:p>
      <w:pPr>
        <w:pStyle w:val="BodyText"/>
      </w:pPr>
      <w:r>
        <w:rPr>
          <w:b/>
          <w:bCs/>
        </w:rPr>
        <w:t xml:space="preserve">What the speed is for.</w:t>
      </w:r>
      <w:r>
        <w:t xml:space="preserve"> </w:t>
      </w:r>
      <w:r>
        <w:t xml:space="preserve">Annotation is almost never the result; it is the step before the</w:t>
      </w:r>
      <w:r>
        <w:t xml:space="preserve"> </w:t>
      </w:r>
      <w:r>
        <w:t xml:space="preserve">biology, and it is usually run more than once — the labels change when a reference is</w:t>
      </w:r>
      <w:r>
        <w:t xml:space="preserve"> </w:t>
      </w:r>
      <w:r>
        <w:t xml:space="preserve">swapped, a threshold moves, a new sample arrives, or a cluster turns out to be two things.</w:t>
      </w:r>
      <w:r>
        <w:t xml:space="preserve"> </w:t>
      </w:r>
      <w:r>
        <w:t xml:space="preserve">The argument of this paper is not that a faster classifier produces better labels; at equal</w:t>
      </w:r>
      <w:r>
        <w:t xml:space="preserve"> </w:t>
      </w:r>
      <w:r>
        <w:t xml:space="preserve">data most of these methods produce much the same labels (§3.1). It is that when a stage costs</w:t>
      </w:r>
      <w:r>
        <w:t xml:space="preserve"> </w:t>
      </w:r>
      <w:r>
        <w:t xml:space="preserve">a second instead of a minute, and a chain of stages fits in memory on the machine already on</w:t>
      </w:r>
      <w:r>
        <w:t xml:space="preserve"> </w:t>
      </w:r>
      <w:r>
        <w:t xml:space="preserve">the desk, the loop from question to annotated data to the next question closes in an</w:t>
      </w:r>
      <w:r>
        <w:t xml:space="preserve"> </w:t>
      </w:r>
      <w:r>
        <w:t xml:space="preserve">afternoon rather than across a queue. That is the contribution we would defend: not a better</w:t>
      </w:r>
      <w:r>
        <w:t xml:space="preserve"> </w:t>
      </w:r>
      <w:r>
        <w:t xml:space="preserve">number in a table, but a workflow — start from the best pan-human model available, refine</w:t>
      </w:r>
      <w:r>
        <w:t xml:space="preserve"> </w:t>
      </w:r>
      <w:r>
        <w:t xml:space="preserve">into the labels a given study actually uses, and flag what neither covers — that a working</w:t>
      </w:r>
      <w:r>
        <w:t xml:space="preserve"> </w:t>
      </w:r>
      <w:r>
        <w:t xml:space="preserve">scientist can run, inspect, and run again.</w:t>
      </w:r>
    </w:p>
    <w:bookmarkEnd w:id="73"/>
    <w:bookmarkStart w:id="74" w:name="limitations"/>
    <w:p>
      <w:pPr>
        <w:pStyle w:val="Heading1"/>
      </w:pPr>
      <w:r>
        <w:t xml:space="preserve">Limitations</w:t>
      </w:r>
    </w:p>
    <w:p>
      <w:pPr>
        <w:pStyle w:val="Compact"/>
        <w:numPr>
          <w:ilvl w:val="0"/>
          <w:numId w:val="1007"/>
        </w:numPr>
      </w:pPr>
      <w:r>
        <w:t xml:space="preserve">Single hardware family for the in-house panel (Apple Silicon); no discrete-GPU numbers</w:t>
      </w:r>
      <w:r>
        <w:t xml:space="preserve"> </w:t>
      </w:r>
      <w:r>
        <w:t xml:space="preserve">there. The deep and foundation methods are written for CUDA and we would expect them to be</w:t>
      </w:r>
      <w:r>
        <w:t xml:space="preserve"> </w:t>
      </w:r>
      <w:r>
        <w:t xml:space="preserve">faster on it, but we did not measure that — it is outside the</w:t>
      </w:r>
      <w:r>
        <w:t xml:space="preserve"> </w:t>
      </w:r>
      <w:r>
        <w:t xml:space="preserve">“runs-on-a-laptop”</w:t>
      </w:r>
      <w:r>
        <w:t xml:space="preserve"> </w:t>
      </w:r>
      <w:r>
        <w:t xml:space="preserve">question,</w:t>
      </w:r>
      <w:r>
        <w:t xml:space="preserve"> </w:t>
      </w:r>
      <w:r>
        <w:t xml:space="preserve">and every timing here should be read as this hardware’s. The §3.7 controlled run covers the</w:t>
      </w:r>
      <w:r>
        <w:t xml:space="preserve"> </w:t>
      </w:r>
      <w:r>
        <w:rPr>
          <w:b/>
          <w:bCs/>
        </w:rPr>
        <w:t xml:space="preserve">CPU tier</w:t>
      </w:r>
      <w:r>
        <w:t xml:space="preserve"> </w:t>
      </w:r>
      <w:r>
        <w:t xml:space="preserve">on one cloud</w:t>
      </w:r>
      <w:r>
        <w:t xml:space="preserve"> </w:t>
      </w:r>
      <w:r>
        <w:t xml:space="preserve">box; the GPU/R methods there are reported from OP’s own cloud-CI trace (indicative). A</w:t>
      </w:r>
      <w:r>
        <w:t xml:space="preserve"> </w:t>
      </w:r>
      <w:r>
        <w:t xml:space="preserve">same-hardware GPU-tier run to fold those into a single controlled table is the natural</w:t>
      </w:r>
      <w:r>
        <w:t xml:space="preserve"> </w:t>
      </w:r>
      <w:r>
        <w:t xml:space="preserve">extension.</w:t>
      </w:r>
    </w:p>
    <w:p>
      <w:pPr>
        <w:pStyle w:val="Compact"/>
        <w:numPr>
          <w:ilvl w:val="0"/>
          <w:numId w:val="1007"/>
        </w:numPr>
      </w:pPr>
      <w:r>
        <w:rPr>
          <w:b/>
          <w:bCs/>
        </w:rPr>
        <w:t xml:space="preserve">Wall-clock comparisons across methods are only meaningful at matched concurrency.</w:t>
      </w:r>
      <w:r>
        <w:t xml:space="preserve"> </w:t>
      </w:r>
      <w:r>
        <w:t xml:space="preserve">Measured</w:t>
      </w:r>
      <w:r>
        <w:t xml:space="preserve"> </w:t>
      </w:r>
      <w:r>
        <w:rPr>
          <w:rStyle w:val="VerbatimChar"/>
        </w:rPr>
        <w:t xml:space="preserve">%cpu</w:t>
      </w:r>
      <w:r>
        <w:t xml:space="preserve"> </w:t>
      </w:r>
      <w:r>
        <w:t xml:space="preserve">on the OP harness spans 49% to 2338% across methods — some are</w:t>
      </w:r>
      <w:r>
        <w:t xml:space="preserve"> </w:t>
      </w:r>
      <w:r>
        <w:t xml:space="preserve">single-threaded, some saturate 23 cores — so the same method timed at two concurrency</w:t>
      </w:r>
      <w:r>
        <w:t xml:space="preserve"> </w:t>
      </w:r>
      <w:r>
        <w:t xml:space="preserve">settings differs by up to 12×, and any wall-clock ranking taken at high concurrency</w:t>
      </w:r>
      <w:r>
        <w:t xml:space="preserve"> </w:t>
      </w:r>
      <w:r>
        <w:t xml:space="preserve">silently ranks threading and scheduler contention alongside algorithm. Table 10 therefore</w:t>
      </w:r>
      <w:r>
        <w:t xml:space="preserve"> </w:t>
      </w:r>
      <w:r>
        <w:t xml:space="preserve">reports cost as a ratio within a run, anchored by a method common to both (§2.10) — the</w:t>
      </w:r>
      <w:r>
        <w:t xml:space="preserve"> </w:t>
      </w:r>
      <w:r>
        <w:t xml:space="preserve">anchor itself moved 165 s → 87 s between them, which is the size of the effect.</w:t>
      </w:r>
    </w:p>
    <w:p>
      <w:pPr>
        <w:pStyle w:val="Compact"/>
        <w:numPr>
          <w:ilvl w:val="0"/>
          <w:numId w:val="1007"/>
        </w:numPr>
      </w:pPr>
      <w:r>
        <w:t xml:space="preserve">Subsampled references (to keep the matrix tractable); the scaling section characterizes</w:t>
      </w:r>
      <w:r>
        <w:t xml:space="preserve"> </w:t>
      </w:r>
      <w:r>
        <w:t xml:space="preserve">the size dependence directly.</w:t>
      </w:r>
    </w:p>
    <w:p>
      <w:pPr>
        <w:pStyle w:val="Compact"/>
        <w:numPr>
          <w:ilvl w:val="0"/>
          <w:numId w:val="1007"/>
        </w:numPr>
      </w:pPr>
      <w:r>
        <w:rPr>
          <w:b/>
          <w:bCs/>
        </w:rPr>
        <w:t xml:space="preserve">The cross-method comparison is human only</w:t>
      </w:r>
      <w:r>
        <w:t xml:space="preserve">; six datasets per benchmark; GPU foundation</w:t>
      </w:r>
      <w:r>
        <w:t xml:space="preserve"> </w:t>
      </w:r>
      <w:r>
        <w:t xml:space="preserve">models beyond scPRINT/UCE (scGPT, Geneformer, popV) not run locally. The shipped references</w:t>
      </w:r>
      <w:r>
        <w:t xml:space="preserve"> </w:t>
      </w:r>
      <w:r>
        <w:t xml:space="preserve">now cover mouse (§3.4), but no</w:t>
      </w:r>
      <w:r>
        <w:t xml:space="preserve"> </w:t>
      </w:r>
      <w:r>
        <w:rPr>
          <w:i/>
          <w:iCs/>
        </w:rPr>
        <w:t xml:space="preserve">method comparison</w:t>
      </w:r>
      <w:r>
        <w:t xml:space="preserve"> </w:t>
      </w:r>
      <w:r>
        <w:t xml:space="preserve">was run on mouse data — the pan-mouse</w:t>
      </w:r>
      <w:r>
        <w:t xml:space="preserve"> </w:t>
      </w:r>
      <w:r>
        <w:t xml:space="preserve">result establishes that the reference-building route works on a second organism, not that</w:t>
      </w:r>
      <w:r>
        <w:t xml:space="preserve"> </w:t>
      </w:r>
      <w:r>
        <w:t xml:space="preserve">actinn-jax’s standing against other methods carries over to it.</w:t>
      </w:r>
    </w:p>
    <w:p>
      <w:pPr>
        <w:pStyle w:val="Compact"/>
        <w:numPr>
          <w:ilvl w:val="0"/>
          <w:numId w:val="1007"/>
        </w:numPr>
      </w:pPr>
      <w:r>
        <w:t xml:space="preserve">actinn-jax needs more cells/type than linear methods to reach parity (§3.1); on very small</w:t>
      </w:r>
      <w:r>
        <w:t xml:space="preserve"> </w:t>
      </w:r>
      <w:r>
        <w:t xml:space="preserve">references it trails.</w:t>
      </w:r>
    </w:p>
    <w:p>
      <w:pPr>
        <w:pStyle w:val="Compact"/>
        <w:numPr>
          <w:ilvl w:val="0"/>
          <w:numId w:val="1007"/>
        </w:numPr>
      </w:pPr>
      <w:r>
        <w:rPr>
          <w:b/>
          <w:bCs/>
        </w:rPr>
        <w:t xml:space="preserve">The distilled broad-pass reference inherits a vocabulary, not a calibration.</w:t>
      </w:r>
      <w:r>
        <w:t xml:space="preserve"> </w:t>
      </w:r>
      <w:r>
        <w:t xml:space="preserve">Pan-human</w:t>
      </w:r>
      <w:r>
        <w:t xml:space="preserve"> </w:t>
      </w:r>
      <w:r>
        <w:t xml:space="preserve">Azimuth’s abstention is trained (and its ECE measured at 0.0044); the distilled student</w:t>
      </w:r>
      <w:r>
        <w:t xml:space="preserve"> </w:t>
      </w:r>
      <w:r>
        <w:t xml:space="preserve">learns hard labels only, so it carries none of that — its confidence barely separates right</w:t>
      </w:r>
      <w:r>
        <w:t xml:space="preserve"> </w:t>
      </w:r>
      <w:r>
        <w:t xml:space="preserve">from wrong (§3.4). Recalibrating it, or distilling from soft targets, is the obvious next</w:t>
      </w:r>
      <w:r>
        <w:t xml:space="preserve"> </w:t>
      </w:r>
      <w:r>
        <w:t xml:space="preserve">step and would need a loss change in the package. Its evaluation is also two withheld</w:t>
      </w:r>
      <w:r>
        <w:t xml:space="preserve"> </w:t>
      </w:r>
      <w:r>
        <w:rPr>
          <w:i/>
          <w:iCs/>
        </w:rPr>
        <w:t xml:space="preserve">atlases</w:t>
      </w:r>
      <w:r>
        <w:t xml:space="preserve">, not withheld tissue: the census-wide corpus spans 376 tissues, so nothing here</w:t>
      </w:r>
      <w:r>
        <w:t xml:space="preserve"> </w:t>
      </w:r>
      <w:r>
        <w:t xml:space="preserve">measures behavior on biology the corpus never saw.</w:t>
      </w:r>
    </w:p>
    <w:p>
      <w:pPr>
        <w:pStyle w:val="Compact"/>
        <w:numPr>
          <w:ilvl w:val="0"/>
          <w:numId w:val="1007"/>
        </w:numPr>
      </w:pPr>
      <w:r>
        <w:rPr>
          <w:b/>
          <w:bCs/>
        </w:rPr>
        <w:t xml:space="preserve">The gene budget is dataset-dependent, not a free parameter.</w:t>
      </w:r>
      <w:r>
        <w:t xml:space="preserve"> </w:t>
      </w:r>
      <w:r>
        <w:t xml:space="preserve">More genes help most</w:t>
      </w:r>
      <w:r>
        <w:t xml:space="preserve"> </w:t>
      </w:r>
      <w:r>
        <w:t xml:space="preserve">references but</w:t>
      </w:r>
      <w:r>
        <w:t xml:space="preserve"> </w:t>
      </w:r>
      <w:r>
        <w:rPr>
          <w:i/>
          <w:iCs/>
        </w:rPr>
        <w:t xml:space="preserve">overfit</w:t>
      </w:r>
      <w:r>
        <w:t xml:space="preserve"> </w:t>
      </w:r>
      <w:r>
        <w:t xml:space="preserve">a tiny, fine-grained, domain-shifted query (tabula_sapiens −10 pt);</w:t>
      </w:r>
      <w:r>
        <w:t xml:space="preserve"> </w:t>
      </w:r>
      <w:r>
        <w:t xml:space="preserve">our reference-cross-validation + cells-per-class selection rule is validated on 6 datasets with a single</w:t>
      </w:r>
      <w:r>
        <w:t xml:space="preserve"> </w:t>
      </w:r>
      <w:r>
        <w:t xml:space="preserve">clean failure case, so it is directional evidence, not a tuned threshold.</w:t>
      </w:r>
    </w:p>
    <w:p>
      <w:pPr>
        <w:pStyle w:val="Compact"/>
        <w:numPr>
          <w:ilvl w:val="0"/>
          <w:numId w:val="1007"/>
        </w:numPr>
      </w:pPr>
      <w:r>
        <w:rPr>
          <w:b/>
          <w:bCs/>
        </w:rPr>
        <w:t xml:space="preserve">Standardization is shipped opt-in</w:t>
      </w:r>
      <w:r>
        <w:t xml:space="preserve">, not default, because it shifts probability</w:t>
      </w:r>
      <w:r>
        <w:t xml:space="preserve"> </w:t>
      </w:r>
      <w:r>
        <w:t xml:space="preserve">calibration that the two-stage abstain thresholds are tuned against; combining the two</w:t>
      </w:r>
      <w:r>
        <w:t xml:space="preserve"> </w:t>
      </w:r>
      <w:r>
        <w:t xml:space="preserve">cleanly would require re-tuning those thresholds.</w:t>
      </w:r>
    </w:p>
    <w:p>
      <w:pPr>
        <w:pStyle w:val="Compact"/>
        <w:numPr>
          <w:ilvl w:val="0"/>
          <w:numId w:val="1007"/>
        </w:numPr>
      </w:pPr>
      <w:r>
        <w:rPr>
          <w:b/>
          <w:bCs/>
        </w:rPr>
        <w:t xml:space="preserve">Our classical tier (SVM, kNN, CellTypist) is untuned, and a tuned linear baseline beats</w:t>
      </w:r>
      <w:r>
        <w:rPr>
          <w:b/>
          <w:bCs/>
        </w:rPr>
        <w:t xml:space="preserve"> </w:t>
      </w:r>
      <w:r>
        <w:rPr>
          <w:b/>
          <w:bCs/>
        </w:rPr>
        <w:t xml:space="preserve">actinn-jax.</w:t>
      </w:r>
      <w:r>
        <w:t xml:space="preserve"> </w:t>
      </w:r>
      <w:r>
        <w:t xml:space="preserve">Souza &amp; Mehta’s pipeline (normalize → ANOVA → standardize → PCA(220) →</w:t>
      </w:r>
      <w:r>
        <w:t xml:space="preserve"> </w:t>
      </w:r>
      <w:r>
        <w:t xml:space="preserve">logistic regression) leads the matrix on accuracy (0.839 vs 0.831) and macro-F1 (0.699 vs</w:t>
      </w:r>
      <w:r>
        <w:t xml:space="preserve"> </w:t>
      </w:r>
      <w:r>
        <w:t xml:space="preserve">0.683) while fitting 7× faster on this panel’s hardware (§2.5), with its largest margin</w:t>
      </w:r>
      <w:r>
        <w:t xml:space="preserve"> </w:t>
      </w:r>
      <w:r>
        <w:t xml:space="preserve">on the 86-type blood+gut set (+4.2 pt) (S1).</w:t>
      </w:r>
      <w:r>
        <w:t xml:space="preserve"> </w:t>
      </w:r>
      <w:r>
        <w:t xml:space="preserve">Wall-clock ratios between a JAX model and a scikit-learn pipeline shift with the CPU and</w:t>
      </w:r>
      <w:r>
        <w:t xml:space="preserve"> </w:t>
      </w:r>
      <w:r>
        <w:t xml:space="preserve">the threading available, so read them as this machine’s, not as constants. The §3.1</w:t>
      </w:r>
      <w:r>
        <w:t xml:space="preserve"> </w:t>
      </w:r>
      <w:r>
        <w:t xml:space="preserve">margins over the</w:t>
      </w:r>
      <w:r>
        <w:t xml:space="preserve"> </w:t>
      </w:r>
      <w:r>
        <w:t xml:space="preserve">classical tier should therefore be read as margins over</w:t>
      </w:r>
      <w:r>
        <w:t xml:space="preserve"> </w:t>
      </w:r>
      <w:r>
        <w:rPr>
          <w:i/>
          <w:iCs/>
        </w:rPr>
        <w:t xml:space="preserve">untuned</w:t>
      </w:r>
      <w:r>
        <w:t xml:space="preserve"> </w:t>
      </w:r>
      <w:r>
        <w:t xml:space="preserve">baselines; a like-for-like</w:t>
      </w:r>
      <w:r>
        <w:t xml:space="preserve"> </w:t>
      </w:r>
      <w:r>
        <w:t xml:space="preserve">tuning effort on SVM or CellTypist would likely narrow them further. scTOP is cheaper</w:t>
      </w:r>
      <w:r>
        <w:t xml:space="preserve"> </w:t>
      </w:r>
      <w:r>
        <w:t xml:space="preserve">still to fit but competitive only at small, low cardinality — best pbmc macro-F1 (0.837),</w:t>
      </w:r>
      <w:r>
        <w:t xml:space="preserve"> </w:t>
      </w:r>
      <w:r>
        <w:t xml:space="preserve">degrading to 0.649 on liver.</w:t>
      </w:r>
    </w:p>
    <w:p>
      <w:pPr>
        <w:pStyle w:val="Compact"/>
        <w:numPr>
          <w:ilvl w:val="0"/>
          <w:numId w:val="1007"/>
        </w:numPr>
      </w:pPr>
      <w:r>
        <w:rPr>
          <w:b/>
          <w:bCs/>
        </w:rPr>
        <w:t xml:space="preserve">actinn-jax’s memory advantage is bounded, and the linear pipeline scales further than a</w:t>
      </w:r>
      <w:r>
        <w:rPr>
          <w:b/>
          <w:bCs/>
        </w:rPr>
        <w:t xml:space="preserve"> </w:t>
      </w:r>
      <w:r>
        <w:rPr>
          <w:b/>
          <w:bCs/>
        </w:rPr>
        <w:t xml:space="preserve">naive extrapolation implies</w:t>
      </w:r>
      <w:r>
        <w:t xml:space="preserve"> </w:t>
      </w:r>
      <w:r>
        <w:t xml:space="preserve">(S3). Extrapolating the</w:t>
      </w:r>
      <w:r>
        <w:t xml:space="preserve"> </w:t>
      </w:r>
      <w:r>
        <w:t xml:space="preserve">linear pipeline’s small-reference footprint overstates its atlas-scale peak by ~2.4× — the</w:t>
      </w:r>
      <w:r>
        <w:t xml:space="preserve"> </w:t>
      </w:r>
      <w:r>
        <w:t xml:space="preserve">measured figure is</w:t>
      </w:r>
      <w:r>
        <w:t xml:space="preserve"> </w:t>
      </w:r>
      <w:r>
        <w:rPr>
          <w:b/>
          <w:bCs/>
        </w:rPr>
        <w:t xml:space="preserve">13.2 GB</w:t>
      </w:r>
      <w:r>
        <w:t xml:space="preserve"> </w:t>
      </w:r>
      <w:r>
        <w:t xml:space="preserve">at 49k reference cells — because its feature-selection step</w:t>
      </w:r>
      <w:r>
        <w:t xml:space="preserve"> </w:t>
      </w:r>
      <w:r>
        <w:t xml:space="preserve">caps the dense matrix at 20,000 genes rather than the full gene set. The linear/actinn-jax</w:t>
      </w:r>
      <w:r>
        <w:t xml:space="preserve"> </w:t>
      </w:r>
      <w:r>
        <w:t xml:space="preserve">memory ratio is likewise</w:t>
      </w:r>
      <w:r>
        <w:t xml:space="preserve"> </w:t>
      </w:r>
      <w:r>
        <w:rPr>
          <w:b/>
          <w:bCs/>
        </w:rPr>
        <w:t xml:space="preserve">bounded at ~2–3×</w:t>
      </w:r>
      <w:r>
        <w:t xml:space="preserve"> </w:t>
      </w:r>
      <w:r>
        <w:t xml:space="preserve">(2.15× at full scale) rather than widening with data, so there is no</w:t>
      </w:r>
      <w:r>
        <w:t xml:space="preserve"> </w:t>
      </w:r>
      <w:r>
        <w:t xml:space="preserve">scaling cliff and no regime tested where the linear pipeline stops being usable. Memory</w:t>
      </w:r>
      <w:r>
        <w:t xml:space="preserve"> </w:t>
      </w:r>
      <w:r>
        <w:t xml:space="preserve">in this setting should be measured, not extrapolated.</w:t>
      </w:r>
    </w:p>
    <w:p>
      <w:pPr>
        <w:pStyle w:val="Compact"/>
        <w:numPr>
          <w:ilvl w:val="0"/>
          <w:numId w:val="1007"/>
        </w:numPr>
      </w:pPr>
      <w:r>
        <w:rPr>
          <w:b/>
          <w:bCs/>
        </w:rPr>
        <w:t xml:space="preserve">At atlas scale the ordering changes and the deep model leads.</w:t>
      </w:r>
      <w:r>
        <w:t xml:space="preserve"> </w:t>
      </w:r>
      <w:r>
        <w:t xml:space="preserve">Scaling the lung reference</w:t>
      </w:r>
      <w:r>
        <w:t xml:space="preserve"> </w:t>
      </w:r>
      <w:r>
        <w:t xml:space="preserve">3k → 49k cells,</w:t>
      </w:r>
      <w:r>
        <w:t xml:space="preserve"> </w:t>
      </w:r>
      <w:r>
        <w:rPr>
          <w:b/>
          <w:bCs/>
        </w:rPr>
        <w:t xml:space="preserve">ProtoCloud goes from worst (0.722) to best (0.976)</w:t>
      </w:r>
      <w:r>
        <w:t xml:space="preserve">, clear of actinn-jax</w:t>
      </w:r>
      <w:r>
        <w:t xml:space="preserve"> </w:t>
      </w:r>
      <w:r>
        <w:t xml:space="preserve">(0.936) and the linear pipeline (0.939), at 19× the CPU fit cost; scTOP gains nothing from</w:t>
      </w:r>
      <w:r>
        <w:t xml:space="preserve"> </w:t>
      </w:r>
      <w:r>
        <w:t xml:space="preserve">scale (0.819 → 0.846) and loses its memory edge (1.22× actinn-jax at 49k). This replicates</w:t>
      </w:r>
      <w:r>
        <w:t xml:space="preserve"> </w:t>
      </w:r>
      <w:r>
        <w:t xml:space="preserve">on the HLiCA liver atlas (36 types, 525k cells, sweep to 47k ref): same bounded ~2× memory</w:t>
      </w:r>
      <w:r>
        <w:t xml:space="preserve"> </w:t>
      </w:r>
      <w:r>
        <w:t xml:space="preserve">band, same ProtoCloud reversal (0.581 → 0.907), same scTOP stagnation (0.657 → 0.583), with</w:t>
      </w:r>
      <w:r>
        <w:t xml:space="preserve"> </w:t>
      </w:r>
      <w:r>
        <w:t xml:space="preserve">scTOP crossing over to heavier than actinn-jax (1.41×). Conclusions drawn from subsampled</w:t>
      </w:r>
      <w:r>
        <w:t xml:space="preserve"> </w:t>
      </w:r>
      <w:r>
        <w:t xml:space="preserve">references do not transfer to atlas scale, in either direction.</w:t>
      </w:r>
    </w:p>
    <w:p>
      <w:pPr>
        <w:pStyle w:val="Compact"/>
        <w:numPr>
          <w:ilvl w:val="0"/>
          <w:numId w:val="1007"/>
        </w:numPr>
      </w:pPr>
      <w:r>
        <w:rPr>
          <w:b/>
          <w:bCs/>
        </w:rPr>
        <w:t xml:space="preserve">Annotation only.</w:t>
      </w:r>
      <w:r>
        <w:t xml:space="preserve"> </w:t>
      </w:r>
      <w:r>
        <w:t xml:space="preserve">Cross-species transfer and disease-state prediction — the tasks where</w:t>
      </w:r>
      <w:r>
        <w:t xml:space="preserve"> </w:t>
      </w:r>
      <w:r>
        <w:t xml:space="preserve">Souza &amp; Mehta find the largest foundation-model deficits, and where a fast method would be</w:t>
      </w:r>
      <w:r>
        <w:t xml:space="preserve"> </w:t>
      </w:r>
      <w:r>
        <w:t xml:space="preserve">most attractive — are outside this benchmark’s scope (human, within/cross-dataset</w:t>
      </w:r>
      <w:r>
        <w:t xml:space="preserve"> </w:t>
      </w:r>
      <w:r>
        <w:t xml:space="preserve">annotation).</w:t>
      </w:r>
    </w:p>
    <w:bookmarkEnd w:id="74"/>
    <w:bookmarkStart w:id="80" w:name="data-code-availability"/>
    <w:p>
      <w:pPr>
        <w:pStyle w:val="Heading1"/>
      </w:pPr>
      <w:r>
        <w:t xml:space="preserve">Data &amp; code availability</w:t>
      </w:r>
    </w:p>
    <w:p>
      <w:pPr>
        <w:pStyle w:val="FirstParagraph"/>
      </w:pPr>
      <w:r>
        <w:t xml:space="preserve">Two repositories hold everything needed to reproduce this work. The</w:t>
      </w:r>
      <w:r>
        <w:t xml:space="preserve"> </w:t>
      </w:r>
      <w:hyperlink r:id="rId33">
        <w:r>
          <w:rPr>
            <w:rStyle w:val="Hyperlink"/>
            <w:b/>
            <w:bCs/>
          </w:rPr>
          <w:t xml:space="preserve">benchmark repository</w:t>
        </w:r>
      </w:hyperlink>
      <w:r>
        <w:t xml:space="preserve"> </w:t>
      </w:r>
      <w:r>
        <w:t xml:space="preserve">carries the harness, the per-method adapters, the run</w:t>
      </w:r>
      <w:r>
        <w:t xml:space="preserve"> </w:t>
      </w:r>
      <w:r>
        <w:t xml:space="preserve">configurations that produce every number reported here, the environment lockfiles, the</w:t>
      </w:r>
      <w:r>
        <w:t xml:space="preserve"> </w:t>
      </w:r>
      <w:r>
        <w:t xml:space="preserve">result tables including the unified eleven-method matrix, and the figure scripts. The</w:t>
      </w:r>
      <w:r>
        <w:t xml:space="preserve"> </w:t>
      </w:r>
      <w:hyperlink r:id="rId75">
        <w:r>
          <w:rPr>
            <w:rStyle w:val="Hyperlink"/>
            <w:b/>
            <w:bCs/>
          </w:rPr>
          <w:t xml:space="preserve">actinn-jax package</w:t>
        </w:r>
      </w:hyperlink>
      <w:r>
        <w:t xml:space="preserve"> </w:t>
      </w:r>
      <w:r>
        <w:t xml:space="preserve">is on PyPI</w:t>
      </w:r>
      <w:r>
        <w:t xml:space="preserve"> </w:t>
      </w:r>
      <w:r>
        <w:t xml:space="preserve">(</w:t>
      </w:r>
      <w:r>
        <w:rPr>
          <w:rStyle w:val="VerbatimChar"/>
        </w:rPr>
        <w:t xml:space="preserve">pip install actinn-jax</w:t>
      </w:r>
      <w:r>
        <w:t xml:space="preserve">). Rebuilding the shipped broad reference is a single documented</w:t>
      </w:r>
      <w:r>
        <w:t xml:space="preserve"> </w:t>
      </w:r>
      <w:r>
        <w:t xml:space="preserve">command; the distilled broad-pass reference, the pan-mouse reference and the Cell-Ontology</w:t>
      </w:r>
      <w:r>
        <w:t xml:space="preserve"> </w:t>
      </w:r>
      <w:r>
        <w:t xml:space="preserve">hierarchy it depends on each have their own build documentation in the benchmark</w:t>
      </w:r>
      <w:r>
        <w:t xml:space="preserve"> </w:t>
      </w:r>
      <w:r>
        <w:t xml:space="preserve">repository, and the file-level detail lives there rather than here.</w:t>
      </w:r>
    </w:p>
    <w:p>
      <w:pPr>
        <w:pStyle w:val="BodyText"/>
      </w:pPr>
      <w:r>
        <w:rPr>
          <w:b/>
          <w:bCs/>
        </w:rPr>
        <w:t xml:space="preserve">Pre-trained references</w:t>
      </w:r>
      <w:r>
        <w:t xml:space="preserve"> </w:t>
      </w:r>
      <w:r>
        <w:t xml:space="preserve">— human (</w:t>
      </w:r>
      <w:r>
        <w:rPr>
          <w:rStyle w:val="VerbatimChar"/>
        </w:rPr>
        <w:t xml:space="preserve">broad_human_v1</w:t>
      </w:r>
      <w:r>
        <w:t xml:space="preserve">,</w:t>
      </w:r>
      <w:r>
        <w:t xml:space="preserve"> </w:t>
      </w:r>
      <w:r>
        <w:rPr>
          <w:rStyle w:val="VerbatimChar"/>
        </w:rPr>
        <w:t xml:space="preserve">panhuman_distill_v1</w:t>
      </w:r>
      <w:r>
        <w:t xml:space="preserve">), mouse</w:t>
      </w:r>
      <w:r>
        <w:t xml:space="preserve"> </w:t>
      </w:r>
      <w:r>
        <w:t xml:space="preserve">(</w:t>
      </w:r>
      <w:r>
        <w:rPr>
          <w:rStyle w:val="VerbatimChar"/>
        </w:rPr>
        <w:t xml:space="preserve">broad_mouse_v1</w:t>
      </w:r>
      <w:r>
        <w:t xml:space="preserve">) and focused liver (</w:t>
      </w:r>
      <w:r>
        <w:rPr>
          <w:rStyle w:val="VerbatimChar"/>
        </w:rPr>
        <w:t xml:space="preserve">liver_hlica_v1</w:t>
      </w:r>
      <w:r>
        <w:t xml:space="preserve">/</w:t>
      </w:r>
      <w:r>
        <w:rPr>
          <w:rStyle w:val="VerbatimChar"/>
        </w:rPr>
        <w:t xml:space="preserve">v2</w:t>
      </w:r>
      <w:r>
        <w:t xml:space="preserve">) — are archived at</w:t>
      </w:r>
      <w:r>
        <w:t xml:space="preserve"> </w:t>
      </w:r>
      <w:hyperlink r:id="rId76">
        <w:r>
          <w:rPr>
            <w:rStyle w:val="Hyperlink"/>
          </w:rPr>
          <w:t xml:space="preserve">doi:10.5281/zenodo.21688151</w:t>
        </w:r>
      </w:hyperlink>
      <w:r>
        <w:t xml:space="preserve"> </w:t>
      </w:r>
      <w:r>
        <w:t xml:space="preserve">(CC BY 4.0; cite the</w:t>
      </w:r>
      <w:r>
        <w:t xml:space="preserve"> </w:t>
      </w:r>
      <w:r>
        <w:t xml:space="preserve">concept DOI</w:t>
      </w:r>
      <w:r>
        <w:t xml:space="preserve"> </w:t>
      </w:r>
      <w:hyperlink r:id="rId77">
        <w:r>
          <w:rPr>
            <w:rStyle w:val="Hyperlink"/>
          </w:rPr>
          <w:t xml:space="preserve">10.5281/zenodo.21688150</w:t>
        </w:r>
      </w:hyperlink>
      <w:r>
        <w:t xml:space="preserve"> </w:t>
      </w:r>
      <w:r>
        <w:t xml:space="preserve">for the</w:t>
      </w:r>
      <w:r>
        <w:t xml:space="preserve"> </w:t>
      </w:r>
      <w:r>
        <w:t xml:space="preserve">latest version). The package downloads and caches them on first use, so no manual</w:t>
      </w:r>
      <w:r>
        <w:t xml:space="preserve"> </w:t>
      </w:r>
      <w:r>
        <w:t xml:space="preserve">retrieval is needed, and can pre-download them for offline use.</w:t>
      </w:r>
    </w:p>
    <w:p>
      <w:pPr>
        <w:pStyle w:val="BodyText"/>
      </w:pPr>
      <w:r>
        <w:t xml:space="preserve">HLiCA data © Edgar et al. 2026 (CC-BY 4.0),</w:t>
      </w:r>
      <w:r>
        <w:t xml:space="preserve"> </w:t>
      </w:r>
      <w:hyperlink r:id="rId29">
        <w:r>
          <w:rPr>
            <w:rStyle w:val="Hyperlink"/>
          </w:rPr>
          <w:t xml:space="preserve">[doi:10.64898/2026.06.30.735539]</w:t>
        </w:r>
      </w:hyperlink>
      <w:r>
        <w:t xml:space="preserve">. The distilled</w:t>
      </w:r>
      <w:r>
        <w:t xml:space="preserve"> </w:t>
      </w:r>
      <w:r>
        <w:t xml:space="preserve">reference derives from</w:t>
      </w:r>
      <w:r>
        <w:t xml:space="preserve"> </w:t>
      </w:r>
      <w:r>
        <w:rPr>
          <w:b/>
          <w:bCs/>
        </w:rPr>
        <w:t xml:space="preserve">Pan-human Azimuth</w:t>
      </w:r>
      <w:r>
        <w:t xml:space="preserve"> </w:t>
      </w:r>
      <w:r>
        <w:t xml:space="preserve">(Sarkar, Li, Molla, … Satija, bioRxiv 2026,</w:t>
      </w:r>
      <w:r>
        <w:t xml:space="preserve"> </w:t>
      </w:r>
      <w:hyperlink r:id="rId25">
        <w:r>
          <w:rPr>
            <w:rStyle w:val="Hyperlink"/>
          </w:rPr>
          <w:t xml:space="preserve">doi:10.64898/2026.07.16.738997</w:t>
        </w:r>
      </w:hyperlink>
      <w:r>
        <w:t xml:space="preserve">); its weights are</w:t>
      </w:r>
      <w:r>
        <w:t xml:space="preserve"> </w:t>
      </w:r>
      <w:r>
        <w:t xml:space="preserve">© the authors under</w:t>
      </w:r>
      <w:r>
        <w:t xml:space="preserve"> </w:t>
      </w:r>
      <w:hyperlink r:id="rId78">
        <w:r>
          <w:rPr>
            <w:rStyle w:val="Hyperlink"/>
          </w:rPr>
          <w:t xml:space="preserve">CC BY 4.0</w:t>
        </w:r>
      </w:hyperlink>
      <w:r>
        <w:t xml:space="preserve">, obtained via</w:t>
      </w:r>
      <w:r>
        <w:t xml:space="preserve"> </w:t>
      </w:r>
      <w:r>
        <w:rPr>
          <w:rStyle w:val="VerbatimChar"/>
        </w:rPr>
        <w:t xml:space="preserve">panhumanpy</w:t>
      </w:r>
      <w:r>
        <w:t xml:space="preserve"> </w:t>
      </w:r>
      <w:r>
        <w:t xml:space="preserve">(MIT) and</w:t>
      </w:r>
      <w:r>
        <w:t xml:space="preserve"> </w:t>
      </w:r>
      <w:hyperlink r:id="rId79">
        <w:r>
          <w:rPr>
            <w:rStyle w:val="Hyperlink"/>
          </w:rPr>
          <w:t xml:space="preserve">Zenodo</w:t>
        </w:r>
      </w:hyperlink>
      <w:r>
        <w:t xml:space="preserve">. Attribution is a</w:t>
      </w:r>
      <w:r>
        <w:t xml:space="preserve"> </w:t>
      </w:r>
      <w:r>
        <w:t xml:space="preserve">condition of that licence and travels inside each shipped model’s build record.</w:t>
      </w:r>
    </w:p>
    <w:p>
      <w:pPr>
        <w:pStyle w:val="BodyText"/>
      </w:pPr>
      <w:r>
        <w:rPr>
          <w:b/>
          <w:bCs/>
        </w:rPr>
        <w:t xml:space="preserve">Supplementary notes.</w:t>
      </w:r>
      <w:r>
        <w:t xml:space="preserve"> </w:t>
      </w:r>
      <w:r>
        <w:t xml:space="preserve">Extended results and protocols, in the</w:t>
      </w:r>
      <w:r>
        <w:t xml:space="preserve"> </w:t>
      </w:r>
      <w:hyperlink r:id="rId33">
        <w:r>
          <w:rPr>
            <w:rStyle w:val="Hyperlink"/>
          </w:rPr>
          <w:t xml:space="preserve">benchmark repository</w:t>
        </w:r>
      </w:hyperlink>
      <w:r>
        <w:t xml:space="preserve">:</w:t>
      </w:r>
    </w:p>
    <w:p>
      <w:pPr>
        <w:pStyle w:val="Compact"/>
        <w:numPr>
          <w:ilvl w:val="0"/>
          <w:numId w:val="1008"/>
        </w:numPr>
      </w:pPr>
      <w:r>
        <w:rPr>
          <w:b/>
          <w:bCs/>
        </w:rPr>
        <w:t xml:space="preserve">S1</w:t>
      </w:r>
      <w:r>
        <w:t xml:space="preserve"> </w:t>
      </w:r>
      <w:r>
        <w:t xml:space="preserve">— Tuned linear pipeline and scTOP baselines</w:t>
      </w:r>
    </w:p>
    <w:p>
      <w:pPr>
        <w:pStyle w:val="Compact"/>
        <w:numPr>
          <w:ilvl w:val="0"/>
          <w:numId w:val="1008"/>
        </w:numPr>
      </w:pPr>
      <w:r>
        <w:rPr>
          <w:b/>
          <w:bCs/>
        </w:rPr>
        <w:t xml:space="preserve">S2</w:t>
      </w:r>
      <w:r>
        <w:t xml:space="preserve"> </w:t>
      </w:r>
      <w:r>
        <w:t xml:space="preserve">— ProtoCloud comparison</w:t>
      </w:r>
    </w:p>
    <w:p>
      <w:pPr>
        <w:pStyle w:val="Compact"/>
        <w:numPr>
          <w:ilvl w:val="0"/>
          <w:numId w:val="1008"/>
        </w:numPr>
      </w:pPr>
      <w:r>
        <w:rPr>
          <w:b/>
          <w:bCs/>
        </w:rPr>
        <w:t xml:space="preserve">S3</w:t>
      </w:r>
      <w:r>
        <w:t xml:space="preserve"> </w:t>
      </w:r>
      <w:r>
        <w:t xml:space="preserve">— Scaling and memory to atlas size</w:t>
      </w:r>
    </w:p>
    <w:p>
      <w:pPr>
        <w:pStyle w:val="Compact"/>
        <w:numPr>
          <w:ilvl w:val="0"/>
          <w:numId w:val="1008"/>
        </w:numPr>
      </w:pPr>
      <w:r>
        <w:rPr>
          <w:b/>
          <w:bCs/>
        </w:rPr>
        <w:t xml:space="preserve">S4</w:t>
      </w:r>
      <w:r>
        <w:t xml:space="preserve"> </w:t>
      </w:r>
      <w:r>
        <w:t xml:space="preserve">— Survey of cell-type annotation methods</w:t>
      </w:r>
    </w:p>
    <w:p>
      <w:pPr>
        <w:pStyle w:val="Compact"/>
        <w:numPr>
          <w:ilvl w:val="0"/>
          <w:numId w:val="1008"/>
        </w:numPr>
      </w:pPr>
      <w:r>
        <w:rPr>
          <w:b/>
          <w:bCs/>
        </w:rPr>
        <w:t xml:space="preserve">S5</w:t>
      </w:r>
      <w:r>
        <w:t xml:space="preserve"> </w:t>
      </w:r>
      <w:r>
        <w:t xml:space="preserve">— Rebuilding the broad reference</w:t>
      </w:r>
    </w:p>
    <w:p>
      <w:pPr>
        <w:pStyle w:val="Compact"/>
        <w:numPr>
          <w:ilvl w:val="0"/>
          <w:numId w:val="1008"/>
        </w:numPr>
      </w:pPr>
      <w:r>
        <w:rPr>
          <w:b/>
          <w:bCs/>
        </w:rPr>
        <w:t xml:space="preserve">S6</w:t>
      </w:r>
      <w:r>
        <w:t xml:space="preserve"> </w:t>
      </w:r>
      <w:r>
        <w:t xml:space="preserve">— Distilling Pan-human Azimuth</w:t>
      </w:r>
    </w:p>
    <w:p>
      <w:pPr>
        <w:pStyle w:val="Compact"/>
        <w:numPr>
          <w:ilvl w:val="0"/>
          <w:numId w:val="1008"/>
        </w:numPr>
      </w:pPr>
      <w:r>
        <w:rPr>
          <w:b/>
          <w:bCs/>
        </w:rPr>
        <w:t xml:space="preserve">S7</w:t>
      </w:r>
      <w:r>
        <w:t xml:space="preserve"> </w:t>
      </w:r>
      <w:r>
        <w:t xml:space="preserve">— Hepatocyte zonation</w:t>
      </w:r>
    </w:p>
    <w:p>
      <w:pPr>
        <w:pStyle w:val="Compact"/>
        <w:numPr>
          <w:ilvl w:val="0"/>
          <w:numId w:val="1008"/>
        </w:numPr>
      </w:pPr>
      <w:r>
        <w:rPr>
          <w:b/>
          <w:bCs/>
        </w:rPr>
        <w:t xml:space="preserve">S8</w:t>
      </w:r>
      <w:r>
        <w:t xml:space="preserve"> </w:t>
      </w:r>
      <w:r>
        <w:t xml:space="preserve">— Open Problems label projection</w:t>
      </w:r>
    </w:p>
    <w:p>
      <w:pPr>
        <w:pStyle w:val="Compact"/>
        <w:numPr>
          <w:ilvl w:val="0"/>
          <w:numId w:val="1008"/>
        </w:numPr>
      </w:pPr>
      <w:r>
        <w:rPr>
          <w:b/>
          <w:bCs/>
        </w:rPr>
        <w:t xml:space="preserve">S9</w:t>
      </w:r>
      <w:r>
        <w:t xml:space="preserve"> </w:t>
      </w:r>
      <w:r>
        <w:t xml:space="preserve">— Refinement and abstention</w:t>
      </w:r>
    </w:p>
    <w:p>
      <w:pPr>
        <w:pStyle w:val="Compact"/>
        <w:numPr>
          <w:ilvl w:val="0"/>
          <w:numId w:val="1008"/>
        </w:numPr>
      </w:pPr>
      <w:r>
        <w:rPr>
          <w:b/>
          <w:bCs/>
        </w:rPr>
        <w:t xml:space="preserve">S10</w:t>
      </w:r>
      <w:r>
        <w:t xml:space="preserve"> </w:t>
      </w:r>
      <w:r>
        <w:t xml:space="preserve">— Pan-mouse reference</w:t>
      </w:r>
    </w:p>
    <w:p>
      <w:pPr>
        <w:pStyle w:val="Compact"/>
        <w:numPr>
          <w:ilvl w:val="0"/>
          <w:numId w:val="1008"/>
        </w:numPr>
      </w:pPr>
      <w:r>
        <w:rPr>
          <w:b/>
          <w:bCs/>
        </w:rPr>
        <w:t xml:space="preserve">S11</w:t>
      </w:r>
      <w:r>
        <w:t xml:space="preserve"> </w:t>
      </w:r>
      <w:r>
        <w:t xml:space="preserve">— HLiCA liver reference</w:t>
      </w:r>
    </w:p>
    <w:p>
      <w:pPr>
        <w:pStyle w:val="Compact"/>
        <w:numPr>
          <w:ilvl w:val="0"/>
          <w:numId w:val="1008"/>
        </w:numPr>
      </w:pPr>
      <w:r>
        <w:rPr>
          <w:b/>
          <w:bCs/>
        </w:rPr>
        <w:t xml:space="preserve">S12</w:t>
      </w:r>
      <w:r>
        <w:t xml:space="preserve"> </w:t>
      </w:r>
      <w:r>
        <w:t xml:space="preserve">— HLiCA edge cases</w:t>
      </w:r>
    </w:p>
    <w:p>
      <w:pPr>
        <w:pStyle w:val="Compact"/>
        <w:numPr>
          <w:ilvl w:val="0"/>
          <w:numId w:val="1008"/>
        </w:numPr>
      </w:pPr>
      <w:r>
        <w:rPr>
          <w:b/>
          <w:bCs/>
        </w:rPr>
        <w:t xml:space="preserve">S13</w:t>
      </w:r>
      <w:r>
        <w:t xml:space="preserve"> </w:t>
      </w:r>
      <w:r>
        <w:t xml:space="preserve">— Pan-human Azimuth as broad pass and teacher</w:t>
      </w:r>
    </w:p>
    <w:p>
      <w:pPr>
        <w:pStyle w:val="Compact"/>
        <w:numPr>
          <w:ilvl w:val="0"/>
          <w:numId w:val="1008"/>
        </w:numPr>
      </w:pPr>
      <w:r>
        <w:rPr>
          <w:b/>
          <w:bCs/>
        </w:rPr>
        <w:t xml:space="preserve">S14</w:t>
      </w:r>
      <w:r>
        <w:t xml:space="preserve"> </w:t>
      </w:r>
      <w:r>
        <w:t xml:space="preserve">— Two-stage model flow</w:t>
      </w:r>
    </w:p>
    <w:p>
      <w:pPr>
        <w:pStyle w:val="Compact"/>
        <w:numPr>
          <w:ilvl w:val="0"/>
          <w:numId w:val="1008"/>
        </w:numPr>
      </w:pPr>
      <w:r>
        <w:rPr>
          <w:b/>
          <w:bCs/>
        </w:rPr>
        <w:t xml:space="preserve">S15</w:t>
      </w:r>
      <w:r>
        <w:t xml:space="preserve"> </w:t>
      </w:r>
      <w:r>
        <w:t xml:space="preserve">— Two-stage hierarchy experiments</w:t>
      </w:r>
    </w:p>
    <w:p>
      <w:pPr>
        <w:pStyle w:val="FirstParagraph"/>
      </w:pPr>
      <w:r>
        <w:rPr>
          <w:b/>
          <w:bCs/>
        </w:rPr>
        <w:t xml:space="preserve">Supplementary figures.</w:t>
      </w:r>
      <w:r>
        <w:t xml:space="preserve"> </w:t>
      </w:r>
      <w:r>
        <w:t xml:space="preserve">In the</w:t>
      </w:r>
      <w:r>
        <w:t xml:space="preserve"> </w:t>
      </w:r>
      <w:hyperlink r:id="rId33">
        <w:r>
          <w:rPr>
            <w:rStyle w:val="Hyperlink"/>
          </w:rPr>
          <w:t xml:space="preserve">benchmark repository</w:t>
        </w:r>
      </w:hyperlink>
      <w:r>
        <w:t xml:space="preserve">:</w:t>
      </w:r>
    </w:p>
    <w:p>
      <w:pPr>
        <w:pStyle w:val="Compact"/>
        <w:numPr>
          <w:ilvl w:val="0"/>
          <w:numId w:val="1009"/>
        </w:numPr>
      </w:pPr>
      <w:r>
        <w:rPr>
          <w:b/>
          <w:bCs/>
        </w:rPr>
        <w:t xml:space="preserve">Figure S1</w:t>
      </w:r>
      <w:r>
        <w:t xml:space="preserve"> </w:t>
      </w:r>
      <w:r>
        <w:t xml:space="preserve">— Confusion matrices for the broad and focused passes, with</w:t>
      </w:r>
      <w:r>
        <w:t xml:space="preserve"> </w:t>
      </w:r>
      <w:r>
        <w:t xml:space="preserve">ontology-equivalent errors outlined</w:t>
      </w:r>
    </w:p>
    <w:p>
      <w:pPr>
        <w:pStyle w:val="Compact"/>
        <w:numPr>
          <w:ilvl w:val="0"/>
          <w:numId w:val="1009"/>
        </w:numPr>
      </w:pPr>
      <w:r>
        <w:rPr>
          <w:b/>
          <w:bCs/>
        </w:rPr>
        <w:t xml:space="preserve">Figure S2</w:t>
      </w:r>
      <w:r>
        <w:t xml:space="preserve"> </w:t>
      </w:r>
      <w:r>
        <w:t xml:space="preserve">— Abstain trade-off: accuracy against coverage, and novel-cell detection</w:t>
      </w:r>
      <w:r>
        <w:t xml:space="preserve"> </w:t>
      </w:r>
      <w:r>
        <w:t xml:space="preserve">against threshold</w:t>
      </w:r>
    </w:p>
    <w:p>
      <w:pPr>
        <w:pStyle w:val="Compact"/>
        <w:numPr>
          <w:ilvl w:val="0"/>
          <w:numId w:val="1009"/>
        </w:numPr>
      </w:pPr>
      <w:r>
        <w:rPr>
          <w:b/>
          <w:bCs/>
        </w:rPr>
        <w:t xml:space="preserve">Figure S3</w:t>
      </w:r>
      <w:r>
        <w:t xml:space="preserve"> </w:t>
      </w:r>
      <w:r>
        <w:t xml:space="preserve">— Per-class recall across eleven methods on three splits, ordered by how much</w:t>
      </w:r>
      <w:r>
        <w:t xml:space="preserve"> </w:t>
      </w:r>
      <w:r>
        <w:t xml:space="preserve">the methods disagree</w:t>
      </w:r>
    </w:p>
    <w:bookmarkEnd w:id="80"/>
    <w:bookmarkStart w:id="81" w:name="references"/>
    <w:p>
      <w:pPr>
        <w:pStyle w:val="Heading1"/>
      </w:pPr>
      <w:r>
        <w:t xml:space="preserve">References</w:t>
      </w:r>
    </w:p>
    <w:p>
      <w:pPr>
        <w:pStyle w:val="Compact"/>
        <w:numPr>
          <w:ilvl w:val="0"/>
          <w:numId w:val="1010"/>
        </w:numPr>
      </w:pPr>
      <w:r>
        <w:t xml:space="preserve">10x Genomics. 3k PBMCs from a healthy donor, Cell Ranger 1.1.0 (2016). Distributed with scanpy as</w:t>
      </w:r>
      <w:r>
        <w:t xml:space="preserve"> </w:t>
      </w:r>
      <w:r>
        <w:rPr>
          <w:rStyle w:val="VerbatimChar"/>
        </w:rPr>
        <w:t xml:space="preserve">pbmc3k</w:t>
      </w:r>
      <w:r>
        <w:t xml:space="preserve">.</w:t>
      </w:r>
      <w:r>
        <w:t xml:space="preserve"> </w:t>
      </w:r>
      <w:hyperlink r:id="rId31">
        <w:r>
          <w:rPr>
            <w:rStyle w:val="Hyperlink"/>
          </w:rPr>
          <w:t xml:space="preserve">10xgenomics.com/datasets/3-k-pbm-cs-from-a-healthy-donor-1-standard-1-1-0</w:t>
        </w:r>
      </w:hyperlink>
      <w:r>
        <w:t xml:space="preserve">.</w:t>
      </w:r>
    </w:p>
    <w:p>
      <w:pPr>
        <w:pStyle w:val="Compact"/>
        <w:numPr>
          <w:ilvl w:val="0"/>
          <w:numId w:val="1010"/>
        </w:numPr>
      </w:pPr>
      <w:r>
        <w:t xml:space="preserve">Abdelaal T, et al. A comparison of automatic cell identification methods for single-cell RNA sequencing data.</w:t>
      </w:r>
      <w:r>
        <w:t xml:space="preserve"> </w:t>
      </w:r>
      <w:r>
        <w:rPr>
          <w:i/>
          <w:iCs/>
        </w:rPr>
        <w:t xml:space="preserve">Genome Biology</w:t>
      </w:r>
      <w:r>
        <w:t xml:space="preserve"> </w:t>
      </w:r>
      <w:r>
        <w:t xml:space="preserve">20:194 (2019).</w:t>
      </w:r>
      <w:r>
        <w:t xml:space="preserve"> </w:t>
      </w:r>
      <w:hyperlink r:id="rId9">
        <w:r>
          <w:rPr>
            <w:rStyle w:val="Hyperlink"/>
          </w:rPr>
          <w:t xml:space="preserve">doi:10.1186/s13059-019-1795-z</w:t>
        </w:r>
      </w:hyperlink>
      <w:r>
        <w:t xml:space="preserve">.</w:t>
      </w:r>
    </w:p>
    <w:p>
      <w:pPr>
        <w:pStyle w:val="Compact"/>
        <w:numPr>
          <w:ilvl w:val="0"/>
          <w:numId w:val="1010"/>
        </w:numPr>
      </w:pPr>
      <w:r>
        <w:t xml:space="preserve">Alegbe T, Harris BT, Fachal L, et al. Cell-type-resolved genetic variation shapes inflammatory bowel disease risk (IBDverse).</w:t>
      </w:r>
      <w:r>
        <w:t xml:space="preserve"> </w:t>
      </w:r>
      <w:r>
        <w:rPr>
          <w:i/>
          <w:iCs/>
        </w:rPr>
        <w:t xml:space="preserve">Nature</w:t>
      </w:r>
      <w:r>
        <w:t xml:space="preserve"> </w:t>
      </w:r>
      <w:r>
        <w:t xml:space="preserve">(2026).</w:t>
      </w:r>
      <w:r>
        <w:t xml:space="preserve"> </w:t>
      </w:r>
      <w:hyperlink r:id="rId30">
        <w:r>
          <w:rPr>
            <w:rStyle w:val="Hyperlink"/>
          </w:rPr>
          <w:t xml:space="preserve">doi:10.1038/s41586-026-10627-z</w:t>
        </w:r>
      </w:hyperlink>
      <w:r>
        <w:t xml:space="preserve">.</w:t>
      </w:r>
    </w:p>
    <w:p>
      <w:pPr>
        <w:pStyle w:val="Compact"/>
        <w:numPr>
          <w:ilvl w:val="0"/>
          <w:numId w:val="1010"/>
        </w:numPr>
      </w:pPr>
      <w:r>
        <w:t xml:space="preserve">Aran D, et al. Reference-based analysis of lung single-cell sequencing reveals a transitional profibrotic macrophage (SingleR).</w:t>
      </w:r>
      <w:r>
        <w:t xml:space="preserve"> </w:t>
      </w:r>
      <w:r>
        <w:rPr>
          <w:i/>
          <w:iCs/>
        </w:rPr>
        <w:t xml:space="preserve">Nature Immunology</w:t>
      </w:r>
      <w:r>
        <w:t xml:space="preserve"> </w:t>
      </w:r>
      <w:r>
        <w:t xml:space="preserve">20:163-172 (2019).</w:t>
      </w:r>
      <w:r>
        <w:t xml:space="preserve"> </w:t>
      </w:r>
      <w:hyperlink r:id="rId19">
        <w:r>
          <w:rPr>
            <w:rStyle w:val="Hyperlink"/>
          </w:rPr>
          <w:t xml:space="preserve">doi:10.1038/s41590-018-0276-y</w:t>
        </w:r>
      </w:hyperlink>
      <w:r>
        <w:t xml:space="preserve">.</w:t>
      </w:r>
    </w:p>
    <w:p>
      <w:pPr>
        <w:pStyle w:val="Compact"/>
        <w:numPr>
          <w:ilvl w:val="0"/>
          <w:numId w:val="1010"/>
        </w:numPr>
      </w:pPr>
      <w:r>
        <w:t xml:space="preserve">Bradbury J, et al. JAX: composable transformations of Python+NumPy programs (2018).</w:t>
      </w:r>
      <w:r>
        <w:t xml:space="preserve"> </w:t>
      </w:r>
      <w:hyperlink r:id="rId14">
        <w:r>
          <w:rPr>
            <w:rStyle w:val="Hyperlink"/>
          </w:rPr>
          <w:t xml:space="preserve">github.com/jax-ml/jax</w:t>
        </w:r>
      </w:hyperlink>
      <w:r>
        <w:t xml:space="preserve">.</w:t>
      </w:r>
    </w:p>
    <w:p>
      <w:pPr>
        <w:pStyle w:val="Compact"/>
        <w:numPr>
          <w:ilvl w:val="0"/>
          <w:numId w:val="1010"/>
        </w:numPr>
      </w:pPr>
      <w:r>
        <w:t xml:space="preserve">CZI Cell Science Program. CZ CELLxGENE Discover Census, LTS release 2025-11-08.</w:t>
      </w:r>
      <w:r>
        <w:t xml:space="preserve"> </w:t>
      </w:r>
      <w:hyperlink r:id="rId36">
        <w:r>
          <w:rPr>
            <w:rStyle w:val="Hyperlink"/>
          </w:rPr>
          <w:t xml:space="preserve">chanzuckerberg.github.io/cellxgene-census</w:t>
        </w:r>
      </w:hyperlink>
      <w:r>
        <w:t xml:space="preserve">.</w:t>
      </w:r>
    </w:p>
    <w:p>
      <w:pPr>
        <w:pStyle w:val="Compact"/>
        <w:numPr>
          <w:ilvl w:val="0"/>
          <w:numId w:val="1010"/>
        </w:numPr>
      </w:pPr>
      <w:r>
        <w:t xml:space="preserve">Chen T, Guestrin C. XGBoost: a scalable tree boosting system.</w:t>
      </w:r>
      <w:r>
        <w:t xml:space="preserve"> </w:t>
      </w:r>
      <w:r>
        <w:rPr>
          <w:i/>
          <w:iCs/>
        </w:rPr>
        <w:t xml:space="preserve">KDD</w:t>
      </w:r>
      <w:r>
        <w:t xml:space="preserve"> </w:t>
      </w:r>
      <w:r>
        <w:t xml:space="preserve">785-794 (2016).</w:t>
      </w:r>
      <w:r>
        <w:t xml:space="preserve"> </w:t>
      </w:r>
      <w:hyperlink r:id="rId63">
        <w:r>
          <w:rPr>
            <w:rStyle w:val="Hyperlink"/>
          </w:rPr>
          <w:t xml:space="preserve">doi:10.1145/2939672.2939785</w:t>
        </w:r>
      </w:hyperlink>
      <w:r>
        <w:t xml:space="preserve">.</w:t>
      </w:r>
    </w:p>
    <w:p>
      <w:pPr>
        <w:pStyle w:val="Compact"/>
        <w:numPr>
          <w:ilvl w:val="0"/>
          <w:numId w:val="1010"/>
        </w:numPr>
      </w:pPr>
      <w:r>
        <w:t xml:space="preserve">Domínguez Conde C, et al. Cross-tissue immune cell analysis reveals tissue-specific features in humans (CellTypist).</w:t>
      </w:r>
      <w:r>
        <w:t xml:space="preserve"> </w:t>
      </w:r>
      <w:r>
        <w:rPr>
          <w:i/>
          <w:iCs/>
        </w:rPr>
        <w:t xml:space="preserve">Science</w:t>
      </w:r>
      <w:r>
        <w:t xml:space="preserve"> </w:t>
      </w:r>
      <w:r>
        <w:t xml:space="preserve">376:eabl5197 (2022).</w:t>
      </w:r>
      <w:r>
        <w:t xml:space="preserve"> </w:t>
      </w:r>
      <w:hyperlink r:id="rId17">
        <w:r>
          <w:rPr>
            <w:rStyle w:val="Hyperlink"/>
          </w:rPr>
          <w:t xml:space="preserve">doi:10.1126/science.abl5197</w:t>
        </w:r>
      </w:hyperlink>
      <w:r>
        <w:t xml:space="preserve">.</w:t>
      </w:r>
    </w:p>
    <w:p>
      <w:pPr>
        <w:pStyle w:val="Compact"/>
        <w:numPr>
          <w:ilvl w:val="0"/>
          <w:numId w:val="1010"/>
        </w:numPr>
      </w:pPr>
      <w:r>
        <w:t xml:space="preserve">Edgar RD, Portman JR, Hu H, et al. HLiCA: an integrated cell atlas of the healthy human liver.</w:t>
      </w:r>
      <w:r>
        <w:t xml:space="preserve"> </w:t>
      </w:r>
      <w:r>
        <w:rPr>
          <w:i/>
          <w:iCs/>
        </w:rPr>
        <w:t xml:space="preserve">bioRxiv</w:t>
      </w:r>
      <w:r>
        <w:t xml:space="preserve"> </w:t>
      </w:r>
      <w:r>
        <w:t xml:space="preserve">(2026).</w:t>
      </w:r>
      <w:r>
        <w:t xml:space="preserve"> </w:t>
      </w:r>
      <w:hyperlink r:id="rId29">
        <w:r>
          <w:rPr>
            <w:rStyle w:val="Hyperlink"/>
          </w:rPr>
          <w:t xml:space="preserve">doi:10.64898/2026.06.30.735539</w:t>
        </w:r>
      </w:hyperlink>
      <w:r>
        <w:t xml:space="preserve">.</w:t>
      </w:r>
    </w:p>
    <w:p>
      <w:pPr>
        <w:pStyle w:val="Compact"/>
        <w:numPr>
          <w:ilvl w:val="0"/>
          <w:numId w:val="1010"/>
        </w:numPr>
      </w:pPr>
      <w:r>
        <w:t xml:space="preserve">Fu Q, Dong C, Liu Y, et al. A comparison of scRNA-seq annotation methods based on experimentally labeled immune cell subtype dataset.</w:t>
      </w:r>
      <w:r>
        <w:t xml:space="preserve"> </w:t>
      </w:r>
      <w:r>
        <w:rPr>
          <w:i/>
          <w:iCs/>
        </w:rPr>
        <w:t xml:space="preserve">Briefings in Bioinformatics</w:t>
      </w:r>
      <w:r>
        <w:t xml:space="preserve"> </w:t>
      </w:r>
      <w:r>
        <w:t xml:space="preserve">25(5):bbae392 (2024).</w:t>
      </w:r>
      <w:r>
        <w:t xml:space="preserve"> </w:t>
      </w:r>
      <w:hyperlink r:id="rId10">
        <w:r>
          <w:rPr>
            <w:rStyle w:val="Hyperlink"/>
          </w:rPr>
          <w:t xml:space="preserve">doi:10.1093/bib/bbae392</w:t>
        </w:r>
      </w:hyperlink>
      <w:r>
        <w:t xml:space="preserve">.</w:t>
      </w:r>
    </w:p>
    <w:p>
      <w:pPr>
        <w:pStyle w:val="Compact"/>
        <w:numPr>
          <w:ilvl w:val="0"/>
          <w:numId w:val="1010"/>
        </w:numPr>
      </w:pPr>
      <w:r>
        <w:t xml:space="preserve">Guo K, Ding J. ProtoCloud: a prototypical self-explaining model for single-cell analysis.</w:t>
      </w:r>
      <w:r>
        <w:t xml:space="preserve"> </w:t>
      </w:r>
      <w:r>
        <w:rPr>
          <w:i/>
          <w:iCs/>
        </w:rPr>
        <w:t xml:space="preserve">Cell Genomics</w:t>
      </w:r>
      <w:r>
        <w:t xml:space="preserve"> </w:t>
      </w:r>
      <w:r>
        <w:t xml:space="preserve">6(6):101217 (2026).</w:t>
      </w:r>
      <w:r>
        <w:t xml:space="preserve"> </w:t>
      </w:r>
      <w:hyperlink r:id="rId23">
        <w:r>
          <w:rPr>
            <w:rStyle w:val="Hyperlink"/>
          </w:rPr>
          <w:t xml:space="preserve">doi:10.1016/j.xgen.2026.101217</w:t>
        </w:r>
      </w:hyperlink>
      <w:r>
        <w:t xml:space="preserve">.</w:t>
      </w:r>
    </w:p>
    <w:p>
      <w:pPr>
        <w:pStyle w:val="Compact"/>
        <w:numPr>
          <w:ilvl w:val="0"/>
          <w:numId w:val="1010"/>
        </w:numPr>
      </w:pPr>
      <w:r>
        <w:t xml:space="preserve">Kalfon J, Samaran J, Peyré G, Cantini L. scPRINT: pre-training on 50 million cells allows robust gene network predictions.</w:t>
      </w:r>
      <w:r>
        <w:t xml:space="preserve"> </w:t>
      </w:r>
      <w:r>
        <w:rPr>
          <w:i/>
          <w:iCs/>
        </w:rPr>
        <w:t xml:space="preserve">Nature Communications</w:t>
      </w:r>
      <w:r>
        <w:t xml:space="preserve"> </w:t>
      </w:r>
      <w:r>
        <w:t xml:space="preserve">16:3607 (2025).</w:t>
      </w:r>
      <w:r>
        <w:t xml:space="preserve"> </w:t>
      </w:r>
      <w:hyperlink r:id="rId24">
        <w:r>
          <w:rPr>
            <w:rStyle w:val="Hyperlink"/>
          </w:rPr>
          <w:t xml:space="preserve">doi:10.1038/s41467-025-58699-1</w:t>
        </w:r>
      </w:hyperlink>
      <w:r>
        <w:t xml:space="preserve">.</w:t>
      </w:r>
    </w:p>
    <w:p>
      <w:pPr>
        <w:pStyle w:val="Compact"/>
        <w:numPr>
          <w:ilvl w:val="0"/>
          <w:numId w:val="1010"/>
        </w:numPr>
      </w:pPr>
      <w:r>
        <w:t xml:space="preserve">Kiselev VY, Yiu A, Hemberg M. scmap: projection of single-cell RNA-seq data across data sets.</w:t>
      </w:r>
      <w:r>
        <w:t xml:space="preserve"> </w:t>
      </w:r>
      <w:r>
        <w:rPr>
          <w:i/>
          <w:iCs/>
        </w:rPr>
        <w:t xml:space="preserve">Nature Methods</w:t>
      </w:r>
      <w:r>
        <w:t xml:space="preserve"> </w:t>
      </w:r>
      <w:r>
        <w:t xml:space="preserve">15:359-362 (2018).</w:t>
      </w:r>
      <w:r>
        <w:t xml:space="preserve"> </w:t>
      </w:r>
      <w:hyperlink r:id="rId20">
        <w:r>
          <w:rPr>
            <w:rStyle w:val="Hyperlink"/>
          </w:rPr>
          <w:t xml:space="preserve">doi:10.1038/nmeth.4644</w:t>
        </w:r>
      </w:hyperlink>
      <w:r>
        <w:t xml:space="preserve">.</w:t>
      </w:r>
    </w:p>
    <w:p>
      <w:pPr>
        <w:pStyle w:val="Compact"/>
        <w:numPr>
          <w:ilvl w:val="0"/>
          <w:numId w:val="1010"/>
        </w:numPr>
      </w:pPr>
      <w:r>
        <w:t xml:space="preserve">Lin Z, et al. Evolutionary-scale prediction of atomic-level protein structure with a language model (ESM-2).</w:t>
      </w:r>
      <w:r>
        <w:t xml:space="preserve"> </w:t>
      </w:r>
      <w:r>
        <w:rPr>
          <w:i/>
          <w:iCs/>
        </w:rPr>
        <w:t xml:space="preserve">Science</w:t>
      </w:r>
      <w:r>
        <w:t xml:space="preserve"> </w:t>
      </w:r>
      <w:r>
        <w:t xml:space="preserve">379:1123-1130 (2023).</w:t>
      </w:r>
      <w:r>
        <w:t xml:space="preserve"> </w:t>
      </w:r>
      <w:hyperlink r:id="rId44">
        <w:r>
          <w:rPr>
            <w:rStyle w:val="Hyperlink"/>
          </w:rPr>
          <w:t xml:space="preserve">doi:10.1126/science.ade2574</w:t>
        </w:r>
      </w:hyperlink>
      <w:r>
        <w:t xml:space="preserve">.</w:t>
      </w:r>
    </w:p>
    <w:p>
      <w:pPr>
        <w:pStyle w:val="Compact"/>
        <w:numPr>
          <w:ilvl w:val="0"/>
          <w:numId w:val="1010"/>
        </w:numPr>
      </w:pPr>
      <w:r>
        <w:t xml:space="preserve">Lotfollahi M, et al. Mapping single-cell data to reference atlases by transfer learning (scArches).</w:t>
      </w:r>
      <w:r>
        <w:t xml:space="preserve"> </w:t>
      </w:r>
      <w:r>
        <w:rPr>
          <w:i/>
          <w:iCs/>
        </w:rPr>
        <w:t xml:space="preserve">Nature Biotechnology</w:t>
      </w:r>
      <w:r>
        <w:t xml:space="preserve"> </w:t>
      </w:r>
      <w:r>
        <w:t xml:space="preserve">40:121-130 (2022).</w:t>
      </w:r>
      <w:r>
        <w:t xml:space="preserve"> </w:t>
      </w:r>
      <w:hyperlink r:id="rId22">
        <w:r>
          <w:rPr>
            <w:rStyle w:val="Hyperlink"/>
          </w:rPr>
          <w:t xml:space="preserve">doi:10.1038/s41587-021-01001-7</w:t>
        </w:r>
      </w:hyperlink>
      <w:r>
        <w:t xml:space="preserve">.</w:t>
      </w:r>
    </w:p>
    <w:p>
      <w:pPr>
        <w:pStyle w:val="Compact"/>
        <w:numPr>
          <w:ilvl w:val="0"/>
          <w:numId w:val="1010"/>
        </w:numPr>
      </w:pPr>
      <w:r>
        <w:t xml:space="preserve">Ma F, Pellegrini M. ACTINN: automated identification of cell types in single cell RNA sequencing.</w:t>
      </w:r>
      <w:r>
        <w:t xml:space="preserve"> </w:t>
      </w:r>
      <w:r>
        <w:rPr>
          <w:i/>
          <w:iCs/>
        </w:rPr>
        <w:t xml:space="preserve">Bioinformatics</w:t>
      </w:r>
      <w:r>
        <w:t xml:space="preserve"> </w:t>
      </w:r>
      <w:r>
        <w:t xml:space="preserve">36(2):533-538 (2020).</w:t>
      </w:r>
      <w:r>
        <w:t xml:space="preserve"> </w:t>
      </w:r>
      <w:hyperlink r:id="rId13">
        <w:r>
          <w:rPr>
            <w:rStyle w:val="Hyperlink"/>
          </w:rPr>
          <w:t xml:space="preserve">doi:10.1093/bioinformatics/btz592</w:t>
        </w:r>
      </w:hyperlink>
      <w:r>
        <w:t xml:space="preserve">.</w:t>
      </w:r>
    </w:p>
    <w:p>
      <w:pPr>
        <w:pStyle w:val="Compact"/>
        <w:numPr>
          <w:ilvl w:val="0"/>
          <w:numId w:val="1010"/>
        </w:numPr>
      </w:pPr>
      <w:r>
        <w:t xml:space="preserve">Open Problems for Single-Cell Analysis Consortium. Open Problems: a living benchmark for single-cell analysis (2024).</w:t>
      </w:r>
      <w:r>
        <w:t xml:space="preserve"> </w:t>
      </w:r>
      <w:hyperlink r:id="rId41">
        <w:r>
          <w:rPr>
            <w:rStyle w:val="Hyperlink"/>
          </w:rPr>
          <w:t xml:space="preserve">openproblems.bio</w:t>
        </w:r>
      </w:hyperlink>
      <w:r>
        <w:t xml:space="preserve">.</w:t>
      </w:r>
    </w:p>
    <w:p>
      <w:pPr>
        <w:pStyle w:val="Compact"/>
        <w:numPr>
          <w:ilvl w:val="0"/>
          <w:numId w:val="1010"/>
        </w:numPr>
      </w:pPr>
      <w:r>
        <w:t xml:space="preserve">Pedregosa F, et al. Scikit-learn: machine learning in Python.</w:t>
      </w:r>
      <w:r>
        <w:t xml:space="preserve"> </w:t>
      </w:r>
      <w:r>
        <w:rPr>
          <w:i/>
          <w:iCs/>
        </w:rPr>
        <w:t xml:space="preserve">JMLR</w:t>
      </w:r>
      <w:r>
        <w:t xml:space="preserve"> </w:t>
      </w:r>
      <w:r>
        <w:t xml:space="preserve">12:2825-2830 (2011).</w:t>
      </w:r>
      <w:r>
        <w:t xml:space="preserve"> </w:t>
      </w:r>
      <w:hyperlink r:id="rId16">
        <w:r>
          <w:rPr>
            <w:rStyle w:val="Hyperlink"/>
          </w:rPr>
          <w:t xml:space="preserve">jmlr.org/papers/v12/pedregosa11a.html</w:t>
        </w:r>
      </w:hyperlink>
      <w:r>
        <w:t xml:space="preserve">.</w:t>
      </w:r>
    </w:p>
    <w:p>
      <w:pPr>
        <w:pStyle w:val="Compact"/>
        <w:numPr>
          <w:ilvl w:val="0"/>
          <w:numId w:val="1010"/>
        </w:numPr>
      </w:pPr>
      <w:r>
        <w:t xml:space="preserve">Rosen Y, et al. Universal cell embedding provides a foundation model for cell biology (UCE).</w:t>
      </w:r>
      <w:r>
        <w:t xml:space="preserve"> </w:t>
      </w:r>
      <w:r>
        <w:rPr>
          <w:i/>
          <w:iCs/>
        </w:rPr>
        <w:t xml:space="preserve">Nature</w:t>
      </w:r>
      <w:r>
        <w:t xml:space="preserve"> </w:t>
      </w:r>
      <w:r>
        <w:t xml:space="preserve">(2026).</w:t>
      </w:r>
      <w:r>
        <w:t xml:space="preserve"> </w:t>
      </w:r>
      <w:hyperlink r:id="rId43">
        <w:r>
          <w:rPr>
            <w:rStyle w:val="Hyperlink"/>
          </w:rPr>
          <w:t xml:space="preserve">doi:10.1038/s41586-026-10689-z</w:t>
        </w:r>
      </w:hyperlink>
      <w:r>
        <w:t xml:space="preserve">.</w:t>
      </w:r>
    </w:p>
    <w:p>
      <w:pPr>
        <w:pStyle w:val="Compact"/>
        <w:numPr>
          <w:ilvl w:val="0"/>
          <w:numId w:val="1010"/>
        </w:numPr>
      </w:pPr>
      <w:r>
        <w:t xml:space="preserve">Sarkar S, Li Z, Molla G, et al. Organism-scale annotation with Pan-human Azimuth.</w:t>
      </w:r>
      <w:r>
        <w:t xml:space="preserve"> </w:t>
      </w:r>
      <w:r>
        <w:rPr>
          <w:i/>
          <w:iCs/>
        </w:rPr>
        <w:t xml:space="preserve">bioRxiv</w:t>
      </w:r>
      <w:r>
        <w:t xml:space="preserve"> </w:t>
      </w:r>
      <w:r>
        <w:t xml:space="preserve">(2026).</w:t>
      </w:r>
      <w:r>
        <w:t xml:space="preserve"> </w:t>
      </w:r>
      <w:hyperlink r:id="rId25">
        <w:r>
          <w:rPr>
            <w:rStyle w:val="Hyperlink"/>
          </w:rPr>
          <w:t xml:space="preserve">doi:10.64898/2026.07.16.738997</w:t>
        </w:r>
      </w:hyperlink>
      <w:r>
        <w:t xml:space="preserve">.</w:t>
      </w:r>
    </w:p>
    <w:p>
      <w:pPr>
        <w:pStyle w:val="Compact"/>
        <w:numPr>
          <w:ilvl w:val="0"/>
          <w:numId w:val="1010"/>
        </w:numPr>
      </w:pPr>
      <w:r>
        <w:t xml:space="preserve">Sikkema L, et al. An integrated cell atlas of the lung in health and disease (HLCA).</w:t>
      </w:r>
      <w:r>
        <w:t xml:space="preserve"> </w:t>
      </w:r>
      <w:r>
        <w:rPr>
          <w:i/>
          <w:iCs/>
        </w:rPr>
        <w:t xml:space="preserve">Nature Medicine</w:t>
      </w:r>
      <w:r>
        <w:t xml:space="preserve"> </w:t>
      </w:r>
      <w:r>
        <w:t xml:space="preserve">29:1563-1577 (2023).</w:t>
      </w:r>
      <w:r>
        <w:t xml:space="preserve"> </w:t>
      </w:r>
      <w:hyperlink r:id="rId28">
        <w:r>
          <w:rPr>
            <w:rStyle w:val="Hyperlink"/>
          </w:rPr>
          <w:t xml:space="preserve">doi:10.1038/s41591-023-02327-2</w:t>
        </w:r>
      </w:hyperlink>
      <w:r>
        <w:t xml:space="preserve">.</w:t>
      </w:r>
    </w:p>
    <w:p>
      <w:pPr>
        <w:pStyle w:val="Compact"/>
        <w:numPr>
          <w:ilvl w:val="0"/>
          <w:numId w:val="1010"/>
        </w:numPr>
      </w:pPr>
      <w:r>
        <w:t xml:space="preserve">Souza H, Mehta P. Parameter-free representations outperform single-cell foundation models on downstream benchmarks.</w:t>
      </w:r>
      <w:r>
        <w:t xml:space="preserve"> </w:t>
      </w:r>
      <w:r>
        <w:rPr>
          <w:i/>
          <w:iCs/>
        </w:rPr>
        <w:t xml:space="preserve">bioRxiv</w:t>
      </w:r>
      <w:r>
        <w:t xml:space="preserve"> </w:t>
      </w:r>
      <w:r>
        <w:t xml:space="preserve">(2026).</w:t>
      </w:r>
      <w:r>
        <w:t xml:space="preserve"> </w:t>
      </w:r>
      <w:hyperlink r:id="rId72">
        <w:r>
          <w:rPr>
            <w:rStyle w:val="Hyperlink"/>
          </w:rPr>
          <w:t xml:space="preserve">doi:10.64898/2026.02.11.705358</w:t>
        </w:r>
      </w:hyperlink>
      <w:r>
        <w:t xml:space="preserve">.</w:t>
      </w:r>
    </w:p>
    <w:p>
      <w:pPr>
        <w:pStyle w:val="Compact"/>
        <w:numPr>
          <w:ilvl w:val="0"/>
          <w:numId w:val="1010"/>
        </w:numPr>
      </w:pPr>
      <w:r>
        <w:t xml:space="preserve">Travaglini KJ, Nabhan AN, Penland L, et al. A molecular cell atlas of the human lung from single-cell RNA sequencing.</w:t>
      </w:r>
      <w:r>
        <w:t xml:space="preserve"> </w:t>
      </w:r>
      <w:r>
        <w:rPr>
          <w:i/>
          <w:iCs/>
        </w:rPr>
        <w:t xml:space="preserve">Nature</w:t>
      </w:r>
      <w:r>
        <w:t xml:space="preserve"> </w:t>
      </w:r>
      <w:r>
        <w:t xml:space="preserve">587(7835):619-625 (2020).</w:t>
      </w:r>
      <w:r>
        <w:t xml:space="preserve"> </w:t>
      </w:r>
      <w:hyperlink r:id="rId27">
        <w:r>
          <w:rPr>
            <w:rStyle w:val="Hyperlink"/>
          </w:rPr>
          <w:t xml:space="preserve">doi:10.1038/s41586-020-2922-4</w:t>
        </w:r>
      </w:hyperlink>
      <w:r>
        <w:t xml:space="preserve">.</w:t>
      </w:r>
    </w:p>
    <w:p>
      <w:pPr>
        <w:pStyle w:val="Compact"/>
        <w:numPr>
          <w:ilvl w:val="0"/>
          <w:numId w:val="1010"/>
        </w:numPr>
      </w:pPr>
      <w:r>
        <w:t xml:space="preserve">Xu C, et al. Probabilistic harmonization and annotation of single-cell transcriptomics data with deep generative models (scANVI).</w:t>
      </w:r>
      <w:r>
        <w:t xml:space="preserve"> </w:t>
      </w:r>
      <w:r>
        <w:rPr>
          <w:i/>
          <w:iCs/>
        </w:rPr>
        <w:t xml:space="preserve">Molecular Systems Biology</w:t>
      </w:r>
      <w:r>
        <w:t xml:space="preserve"> </w:t>
      </w:r>
      <w:r>
        <w:t xml:space="preserve">17:e9620 (2021).</w:t>
      </w:r>
      <w:r>
        <w:t xml:space="preserve"> </w:t>
      </w:r>
      <w:hyperlink r:id="rId21">
        <w:r>
          <w:rPr>
            <w:rStyle w:val="Hyperlink"/>
          </w:rPr>
          <w:t xml:space="preserve">doi:10.15252/msb.20209620</w:t>
        </w:r>
      </w:hyperlink>
      <w:r>
        <w:t xml:space="preserve">.</w:t>
      </w:r>
    </w:p>
    <w:p>
      <w:pPr>
        <w:pStyle w:val="Compact"/>
        <w:numPr>
          <w:ilvl w:val="0"/>
          <w:numId w:val="1010"/>
        </w:numPr>
      </w:pPr>
      <w:r>
        <w:t xml:space="preserve">Yampolskaya M, Herriges MJ, Ikonomou L, Kotton DN, Mehta P. scTOP: physics-inspired order parameters for cellular identification and visualization.</w:t>
      </w:r>
      <w:r>
        <w:t xml:space="preserve"> </w:t>
      </w:r>
      <w:r>
        <w:rPr>
          <w:i/>
          <w:iCs/>
        </w:rPr>
        <w:t xml:space="preserve">Development</w:t>
      </w:r>
      <w:r>
        <w:t xml:space="preserve"> </w:t>
      </w:r>
      <w:r>
        <w:t xml:space="preserve">150(21):dev201873 (2023).</w:t>
      </w:r>
      <w:r>
        <w:t xml:space="preserve"> </w:t>
      </w:r>
      <w:hyperlink r:id="rId18">
        <w:r>
          <w:rPr>
            <w:rStyle w:val="Hyperlink"/>
          </w:rPr>
          <w:t xml:space="preserve">doi:10.1242/dev.201873</w:t>
        </w:r>
      </w:hyperlink>
      <w:r>
        <w:t xml:space="preserve">.</w:t>
      </w:r>
    </w:p>
    <w:p>
      <w:pPr>
        <w:pStyle w:val="Compact"/>
        <w:numPr>
          <w:ilvl w:val="0"/>
          <w:numId w:val="1010"/>
        </w:numPr>
      </w:pPr>
      <w:r>
        <w:t xml:space="preserve">Munroe R. Standards.</w:t>
      </w:r>
      <w:r>
        <w:t xml:space="preserve"> </w:t>
      </w:r>
      <w:r>
        <w:rPr>
          <w:i/>
          <w:iCs/>
        </w:rPr>
        <w:t xml:space="preserve">xkcd</w:t>
      </w:r>
      <w:r>
        <w:t xml:space="preserve"> </w:t>
      </w:r>
      <w:r>
        <w:t xml:space="preserve">927.</w:t>
      </w:r>
      <w:r>
        <w:t xml:space="preserve"> </w:t>
      </w:r>
      <w:hyperlink r:id="rId11">
        <w:r>
          <w:rPr>
            <w:rStyle w:val="Hyperlink"/>
          </w:rPr>
          <w:t xml:space="preserve">xkcd.com/927</w:t>
        </w:r>
      </w:hyperlink>
      <w:r>
        <w:t xml:space="preserve">.</w:t>
      </w:r>
    </w:p>
    <w:bookmarkEnd w:id="8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image" Id="rId64" Target="media/rId64.png" /><Relationship Type="http://schemas.openxmlformats.org/officeDocument/2006/relationships/image" Id="rId67" Target="media/rId67.png" /><Relationship Type="http://schemas.openxmlformats.org/officeDocument/2006/relationships/hyperlink" Id="rId36" Target="https://chanzuckerberg.github.io/cellxgene-census/" TargetMode="External" /><Relationship Type="http://schemas.openxmlformats.org/officeDocument/2006/relationships/hyperlink" Id="rId78" Target="https://creativecommons.org/licenses/by/4.0/" TargetMode="External" /><Relationship Type="http://schemas.openxmlformats.org/officeDocument/2006/relationships/hyperlink" Id="rId23" Target="https://doi.org/10.1016/j.xgen.2026.101217" TargetMode="External" /><Relationship Type="http://schemas.openxmlformats.org/officeDocument/2006/relationships/hyperlink" Id="rId20" Target="https://doi.org/10.1038/nmeth.4644" TargetMode="External" /><Relationship Type="http://schemas.openxmlformats.org/officeDocument/2006/relationships/hyperlink" Id="rId24" Target="https://doi.org/10.1038/s41467-025-58699-1" TargetMode="External" /><Relationship Type="http://schemas.openxmlformats.org/officeDocument/2006/relationships/hyperlink" Id="rId27" Target="https://doi.org/10.1038/s41586-020-2922-4" TargetMode="External" /><Relationship Type="http://schemas.openxmlformats.org/officeDocument/2006/relationships/hyperlink" Id="rId30" Target="https://doi.org/10.1038/s41586-026-10627-z" TargetMode="External" /><Relationship Type="http://schemas.openxmlformats.org/officeDocument/2006/relationships/hyperlink" Id="rId43" Target="https://doi.org/10.1038/s41586-026-10689-z" TargetMode="External" /><Relationship Type="http://schemas.openxmlformats.org/officeDocument/2006/relationships/hyperlink" Id="rId22" Target="https://doi.org/10.1038/s41587-021-01001-7" TargetMode="External" /><Relationship Type="http://schemas.openxmlformats.org/officeDocument/2006/relationships/hyperlink" Id="rId19" Target="https://doi.org/10.1038/s41590-018-0276-y" TargetMode="External" /><Relationship Type="http://schemas.openxmlformats.org/officeDocument/2006/relationships/hyperlink" Id="rId28" Target="https://doi.org/10.1038/s41591-023-02327-2" TargetMode="External" /><Relationship Type="http://schemas.openxmlformats.org/officeDocument/2006/relationships/hyperlink" Id="rId10" Target="https://doi.org/10.1093/bib/bbae392" TargetMode="External" /><Relationship Type="http://schemas.openxmlformats.org/officeDocument/2006/relationships/hyperlink" Id="rId13" Target="https://doi.org/10.1093/bioinformatics/btz592" TargetMode="External" /><Relationship Type="http://schemas.openxmlformats.org/officeDocument/2006/relationships/hyperlink" Id="rId17" Target="https://doi.org/10.1126/science.abl5197" TargetMode="External" /><Relationship Type="http://schemas.openxmlformats.org/officeDocument/2006/relationships/hyperlink" Id="rId44" Target="https://doi.org/10.1126/science.ade2574" TargetMode="External" /><Relationship Type="http://schemas.openxmlformats.org/officeDocument/2006/relationships/hyperlink" Id="rId63" Target="https://doi.org/10.1145/2939672.2939785" TargetMode="External" /><Relationship Type="http://schemas.openxmlformats.org/officeDocument/2006/relationships/hyperlink" Id="rId9" Target="https://doi.org/10.1186/s13059-019-1795-z" TargetMode="External" /><Relationship Type="http://schemas.openxmlformats.org/officeDocument/2006/relationships/hyperlink" Id="rId18" Target="https://doi.org/10.1242/dev.201873" TargetMode="External" /><Relationship Type="http://schemas.openxmlformats.org/officeDocument/2006/relationships/hyperlink" Id="rId21" Target="https://doi.org/10.15252/msb.20209620" TargetMode="External" /><Relationship Type="http://schemas.openxmlformats.org/officeDocument/2006/relationships/hyperlink" Id="rId79" Target="https://doi.org/10.5281/zenodo.20401417" TargetMode="External" /><Relationship Type="http://schemas.openxmlformats.org/officeDocument/2006/relationships/hyperlink" Id="rId77" Target="https://doi.org/10.5281/zenodo.21688150" TargetMode="External" /><Relationship Type="http://schemas.openxmlformats.org/officeDocument/2006/relationships/hyperlink" Id="rId76" Target="https://doi.org/10.5281/zenodo.21688151" TargetMode="External" /><Relationship Type="http://schemas.openxmlformats.org/officeDocument/2006/relationships/hyperlink" Id="rId72" Target="https://doi.org/10.64898/2026.02.11.705358" TargetMode="External" /><Relationship Type="http://schemas.openxmlformats.org/officeDocument/2006/relationships/hyperlink" Id="rId29" Target="https://doi.org/10.64898/2026.06.30.735539" TargetMode="External" /><Relationship Type="http://schemas.openxmlformats.org/officeDocument/2006/relationships/hyperlink" Id="rId25" Target="https://doi.org/10.64898/2026.07.16.738997" TargetMode="External" /><Relationship Type="http://schemas.openxmlformats.org/officeDocument/2006/relationships/hyperlink" Id="rId75" Target="https://github.com/iandriver/actinn-jax" TargetMode="External" /><Relationship Type="http://schemas.openxmlformats.org/officeDocument/2006/relationships/hyperlink" Id="rId33" Target="https://github.com/iandriver/actinn-jax-benchmark" TargetMode="External" /><Relationship Type="http://schemas.openxmlformats.org/officeDocument/2006/relationships/hyperlink" Id="rId14" Target="https://github.com/jax-ml/jax" TargetMode="External" /><Relationship Type="http://schemas.openxmlformats.org/officeDocument/2006/relationships/hyperlink" Id="rId41" Target="https://openproblems.bio" TargetMode="External" /><Relationship Type="http://schemas.openxmlformats.org/officeDocument/2006/relationships/hyperlink" Id="rId62" Target="https://openproblems.bio/benchmarks/label_projection" TargetMode="External" /><Relationship Type="http://schemas.openxmlformats.org/officeDocument/2006/relationships/hyperlink" Id="rId31" Target="https://www.10xgenomics.com/datasets/3-k-pbm-cs-from-a-healthy-donor-1-standard-1-1-0" TargetMode="External" /><Relationship Type="http://schemas.openxmlformats.org/officeDocument/2006/relationships/hyperlink" Id="rId16" Target="https://www.jmlr.org/papers/v12/pedregosa11a.html" TargetMode="External" /><Relationship Type="http://schemas.openxmlformats.org/officeDocument/2006/relationships/hyperlink" Id="rId11" Target="https://xkcd.com/927/" TargetMode="External" /></Relationships>
</file>

<file path=word/_rels/footnotes.xml.rels><?xml version="1.0" encoding="UTF-8"?><Relationships xmlns="http://schemas.openxmlformats.org/package/2006/relationships"><Relationship Type="http://schemas.openxmlformats.org/officeDocument/2006/relationships/hyperlink" Id="rId36" Target="https://chanzuckerberg.github.io/cellxgene-census/" TargetMode="External" /><Relationship Type="http://schemas.openxmlformats.org/officeDocument/2006/relationships/hyperlink" Id="rId78" Target="https://creativecommons.org/licenses/by/4.0/" TargetMode="External" /><Relationship Type="http://schemas.openxmlformats.org/officeDocument/2006/relationships/hyperlink" Id="rId23" Target="https://doi.org/10.1016/j.xgen.2026.101217" TargetMode="External" /><Relationship Type="http://schemas.openxmlformats.org/officeDocument/2006/relationships/hyperlink" Id="rId20" Target="https://doi.org/10.1038/nmeth.4644" TargetMode="External" /><Relationship Type="http://schemas.openxmlformats.org/officeDocument/2006/relationships/hyperlink" Id="rId24" Target="https://doi.org/10.1038/s41467-025-58699-1" TargetMode="External" /><Relationship Type="http://schemas.openxmlformats.org/officeDocument/2006/relationships/hyperlink" Id="rId27" Target="https://doi.org/10.1038/s41586-020-2922-4" TargetMode="External" /><Relationship Type="http://schemas.openxmlformats.org/officeDocument/2006/relationships/hyperlink" Id="rId30" Target="https://doi.org/10.1038/s41586-026-10627-z" TargetMode="External" /><Relationship Type="http://schemas.openxmlformats.org/officeDocument/2006/relationships/hyperlink" Id="rId43" Target="https://doi.org/10.1038/s41586-026-10689-z" TargetMode="External" /><Relationship Type="http://schemas.openxmlformats.org/officeDocument/2006/relationships/hyperlink" Id="rId22" Target="https://doi.org/10.1038/s41587-021-01001-7" TargetMode="External" /><Relationship Type="http://schemas.openxmlformats.org/officeDocument/2006/relationships/hyperlink" Id="rId19" Target="https://doi.org/10.1038/s41590-018-0276-y" TargetMode="External" /><Relationship Type="http://schemas.openxmlformats.org/officeDocument/2006/relationships/hyperlink" Id="rId28" Target="https://doi.org/10.1038/s41591-023-02327-2" TargetMode="External" /><Relationship Type="http://schemas.openxmlformats.org/officeDocument/2006/relationships/hyperlink" Id="rId10" Target="https://doi.org/10.1093/bib/bbae392" TargetMode="External" /><Relationship Type="http://schemas.openxmlformats.org/officeDocument/2006/relationships/hyperlink" Id="rId13" Target="https://doi.org/10.1093/bioinformatics/btz592" TargetMode="External" /><Relationship Type="http://schemas.openxmlformats.org/officeDocument/2006/relationships/hyperlink" Id="rId17" Target="https://doi.org/10.1126/science.abl5197" TargetMode="External" /><Relationship Type="http://schemas.openxmlformats.org/officeDocument/2006/relationships/hyperlink" Id="rId44" Target="https://doi.org/10.1126/science.ade2574" TargetMode="External" /><Relationship Type="http://schemas.openxmlformats.org/officeDocument/2006/relationships/hyperlink" Id="rId63" Target="https://doi.org/10.1145/2939672.2939785" TargetMode="External" /><Relationship Type="http://schemas.openxmlformats.org/officeDocument/2006/relationships/hyperlink" Id="rId9" Target="https://doi.org/10.1186/s13059-019-1795-z" TargetMode="External" /><Relationship Type="http://schemas.openxmlformats.org/officeDocument/2006/relationships/hyperlink" Id="rId18" Target="https://doi.org/10.1242/dev.201873" TargetMode="External" /><Relationship Type="http://schemas.openxmlformats.org/officeDocument/2006/relationships/hyperlink" Id="rId21" Target="https://doi.org/10.15252/msb.20209620" TargetMode="External" /><Relationship Type="http://schemas.openxmlformats.org/officeDocument/2006/relationships/hyperlink" Id="rId79" Target="https://doi.org/10.5281/zenodo.20401417" TargetMode="External" /><Relationship Type="http://schemas.openxmlformats.org/officeDocument/2006/relationships/hyperlink" Id="rId77" Target="https://doi.org/10.5281/zenodo.21688150" TargetMode="External" /><Relationship Type="http://schemas.openxmlformats.org/officeDocument/2006/relationships/hyperlink" Id="rId76" Target="https://doi.org/10.5281/zenodo.21688151" TargetMode="External" /><Relationship Type="http://schemas.openxmlformats.org/officeDocument/2006/relationships/hyperlink" Id="rId72" Target="https://doi.org/10.64898/2026.02.11.705358" TargetMode="External" /><Relationship Type="http://schemas.openxmlformats.org/officeDocument/2006/relationships/hyperlink" Id="rId29" Target="https://doi.org/10.64898/2026.06.30.735539" TargetMode="External" /><Relationship Type="http://schemas.openxmlformats.org/officeDocument/2006/relationships/hyperlink" Id="rId25" Target="https://doi.org/10.64898/2026.07.16.738997" TargetMode="External" /><Relationship Type="http://schemas.openxmlformats.org/officeDocument/2006/relationships/hyperlink" Id="rId75" Target="https://github.com/iandriver/actinn-jax" TargetMode="External" /><Relationship Type="http://schemas.openxmlformats.org/officeDocument/2006/relationships/hyperlink" Id="rId33" Target="https://github.com/iandriver/actinn-jax-benchmark" TargetMode="External" /><Relationship Type="http://schemas.openxmlformats.org/officeDocument/2006/relationships/hyperlink" Id="rId14" Target="https://github.com/jax-ml/jax" TargetMode="External" /><Relationship Type="http://schemas.openxmlformats.org/officeDocument/2006/relationships/hyperlink" Id="rId41" Target="https://openproblems.bio" TargetMode="External" /><Relationship Type="http://schemas.openxmlformats.org/officeDocument/2006/relationships/hyperlink" Id="rId62" Target="https://openproblems.bio/benchmarks/label_projection" TargetMode="External" /><Relationship Type="http://schemas.openxmlformats.org/officeDocument/2006/relationships/hyperlink" Id="rId31" Target="https://www.10xgenomics.com/datasets/3-k-pbm-cs-from-a-healthy-donor-1-standard-1-1-0" TargetMode="External" /><Relationship Type="http://schemas.openxmlformats.org/officeDocument/2006/relationships/hyperlink" Id="rId16" Target="https://www.jmlr.org/papers/v12/pedregosa11a.html" TargetMode="External" /><Relationship Type="http://schemas.openxmlformats.org/officeDocument/2006/relationships/hyperlink" Id="rId11" Target="https://xkcd.com/92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Annotating single-cell data on a laptop: a 13-method benchmark and practical low-memory workflows, with actinn-jax</dc:title>
  <dc:creator>Ian Driver</dc:creator>
  <cp:keywords/>
  <dcterms:created xsi:type="dcterms:W3CDTF">2026-08-08T19:04:45Z</dcterms:created>
  <dcterms:modified xsi:type="dcterms:W3CDTF">2026-08-08T19:04:45Z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Reference-based cell-type annotation is a routine, high-volume step in single-cell analysis, and most labs run it on a laptop, not a GPU cluster. We present actinn-jax, a from-scratch JAX reimplementation of ACTINN (a 4-layer MLP classifier) with a sparse-aware pipeline and a train-once/map-many cached reference model, and use it as the occasion for a neutral benchmark of thirteen methods spanning every major class — classical (SVM, kNN), regularized-linear (CellTypist), a carefully-tuned linear pipeline, parameter-free projection (scTOP), marker/correlation (SingleR, scmap), deep probabilistic (scANVI, scArches), an interpretable prototype VAE (ProtoCloud), and a foundation model (scPRINT) — across six datasets (within-dataset, cross-dataset and cross-study; 8 to 86 cell types) plus a five-point scaling sweep to 49k reference cells, measuring accuracy, macro-F1, ontology-aware concordance, training and inference time, and peak memory on commodity Apple-Silicon hardware. Accuracy differences among the leading methods are small; their cost differences are not. The top of the accuracy table is a four-way cluster spanning 0.008 (0.831–0.839), led by a carefully preprocessed linear pipeline (normalize → ANOVA → PCA → logistic regression, 0.839) rather than by a deep model, with scANVI, scArches and actinn-jax (0.831) alongside it. Those same four methods differ by ~130× in inference time (0.34 s to 89 s) and 2.4× in peak memory (1.8 to 4.3 GB). The linear pipeline is the most accurate-per-second option on laptop-sized data, fitting 7× faster than actinn-jax (3.0 vs. 21.9 s). At atlas scale the ordering changes: ProtoCloud rises from worst at 3k reference cells (0.722) to best at 49k (0.976, vs. 0.936 for actinn-jax and 0.939 for the linear pipeline). No method leads everywhere, and methods separated by less than a percentage point of accuracy are separated by two orders of magnitude in cost. Because several methods now annotate quickly, accurately, and with a usable handle on unknown cells, the useful contribution is not another ranking but an account of which tool fits which job, and what the surrounding workflow looks like. Every method is run on every dataset through one harness on identical splits, the panel deliberately includes the baselines most likely to beat a small MLP, and the external validation is somebody else’s benchmark — Open Problems (OP) label_projection, whose datasets, metrics and ranking we did not choose. We report the results as a decision aid (accuracy-per-second, accuracy-per-byte, and behavior from 3k to 49k reference cells), then use actinn-jax to demonstrate end-to-end workflows that a low, flat cost profile makes practical, on human data and — via a hierarchy derived from the Cell Ontology, which removes the GPU step from building a reference — on mouse: annotating an unknown human dataset from a shipped census-scale reference (~800 cell types, calibrated abstain) with no training; tissue-aware refinement that halves spurious cross-tissue labels on a liver query; a broad→refined hand-off to a small focused reference (held-out cross-study liver 0.23/0.58 → 0.72/0.86, exact-match / Cell-Ontology-aware); within-cell-type resolution (hepatocyte zonation); and a cluster-level novel-cell-type screen that recovers a withheld pulmonary ionocyte population and its marker ASCL3. What enables this is inference that is sub-second and flat — independent of reference size and cardinality — over a cached reference that is trained once and reused, at the lowest peak memory of the methods we carried to atlas scale (6.1 vs. 13.2 GB for the linear pipeline at 49k cells). The components are not unique: ProtoCloud provides uncertainty, gene attribution and a retraining-based refinement path, and Pan-human Azimuth ships a pretrained, calibrated, hierarchical pan-human annotator that runs on a laptop — a better-resourced broad pass than ours, and one we can distill into a broad-pass model of comparable accuracy at 6–9× its throughput, built with no GPU and no labeled data. What the workflow adds is the hand-off into a label set the broad model was never trained on: refinement against a user’s own focused reference, and resolution below any fixed typology’s leaves.</vt:lpwstr>
  </property>
  <property fmtid="{D5CDD505-2E9C-101B-9397-08002B2CF9AE}" pid="3" name="date">
    <vt:lpwstr/>
  </property>
</Properties>
</file>