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33.png" ContentType="image/png"/>
  <Override PartName="/word/media/rId212.png" ContentType="image/png"/>
  <Override PartName="/word/media/rId216.png" ContentType="image/png"/>
  <Override PartName="/word/media/rId27.png" ContentType="image/png"/>
  <Override PartName="/word/media/rId17.png" ContentType="image/png"/>
  <Override PartName="/word/media/rId21.png" ContentType="image/png"/>
  <Override PartName="/word/media/rId55.png" ContentType="image/png"/>
  <Override PartName="/word/media/rId45.png" ContentType="image/png"/>
  <Override PartName="/word/media/rId49.png" ContentType="image/png"/>
  <Override PartName="/word/media/rId83.png" ContentType="image/png"/>
  <Override PartName="/word/media/rId73.png" ContentType="image/png"/>
  <Override PartName="/word/media/rId77.png" ContentType="image/png"/>
  <Override PartName="/word/media/rId111.png" ContentType="image/png"/>
  <Override PartName="/word/media/rId120.png" ContentType="image/png"/>
  <Override PartName="/word/media/rId101.png" ContentType="image/png"/>
  <Override PartName="/word/media/rId105.png" ContentType="image/png"/>
  <Override PartName="/word/media/rId148.png" ContentType="image/png"/>
  <Override PartName="/word/media/rId157.png" ContentType="image/png"/>
  <Override PartName="/word/media/rId138.png" ContentType="image/png"/>
  <Override PartName="/word/media/rId142.png" ContentType="image/png"/>
  <Override PartName="/word/media/rId185.png" ContentType="image/png"/>
  <Override PartName="/word/media/rId194.png" ContentType="image/png"/>
  <Override PartName="/word/media/rId175.png" ContentType="image/png"/>
  <Override PartName="/word/media/rId1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Accuracy and computational cost of reference-based cell-type annotation on commodity hardware</w:t>
      </w:r>
    </w:p>
    <w:p>
      <w:pPr>
        <w:pStyle w:val="Author"/>
      </w:pPr>
      <w:r>
        <w:t xml:space="preserve">Ian Driver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Reference-based cell-type annotation requires a choice of label resolution, reference and computational budget. We compared eleven reference-trained methods across eight splits of seven human datasets and evaluated two pretrained annotators where their vocabularies permitted comparison. We also used the Open Problems label-projection workflow. A matched comparison evaluated scArches with weighted-neighbor label transfer, a linear baseline and actinn-jax on identical query cells within eight splits. scArches gave the highest accuracy among these methods on PBMC, within-dataset lung and both brain tasks; the linear baseline led on liver and blood/gut. At 151 brain clusters, scArches scored 0.860 versus 0.816 for the linear baseline and 0.741 for actinn-jax, with complete-job times of 563, 6.3 and 20.4 s. scArches used less peak memory than either baseline. A saved actinn-jax reference annotated 524,699 cells in 31 s on the tested laptop. A focused liver reference improved ontology concordance from 0.580 to 0.858 on a study excluded from focused training. Distillation increased throughput with losses on withheld atlases; agreement identified higher-concordance subsets but did not improve the tested consensus over the best annotator. Our findings support ArchMap’s emphasis on reference quality and uncertainty inspection. Unknown-cell percentage alone does not establish annotation accuracy. Label prediction and integrated atlas mapping require different evaluations; we did not assess ArchMap’s integration quality or hosted performance. Code and pretrained references are publicly available.</w:t>
      </w:r>
    </w:p>
    <w:p>
      <w:pPr>
        <w:pStyle w:val="FirstParagraph"/>
      </w:pPr>
      <w:r>
        <w:rPr>
          <w:i/>
          <w:iCs/>
        </w:rPr>
        <w:t xml:space="preserve">Independent Researcher, Detroit, MI, USA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Correspondence: driver.ian@gmail.com</w:t>
      </w:r>
    </w:p>
    <w:bookmarkStart w:id="203" w:name="key-points"/>
    <w:p>
      <w:pPr>
        <w:pStyle w:val="Heading1"/>
      </w:pPr>
      <w:r>
        <w:t xml:space="preserve">Key Points</w:t>
      </w:r>
    </w:p>
    <w:p>
      <w:pPr>
        <w:pStyle w:val="Compact"/>
        <w:numPr>
          <w:ilvl w:val="0"/>
          <w:numId w:val="1001"/>
        </w:numPr>
      </w:pPr>
      <w:r>
        <w:t xml:space="preserve">scArches has higher accuracy at fine brain resolution; the linear baseline has higher scores on liver and blood/gut. Time and memory move in different directions.</w:t>
      </w:r>
    </w:p>
    <w:p>
      <w:pPr>
        <w:pStyle w:val="Compact"/>
        <w:numPr>
          <w:ilvl w:val="0"/>
          <w:numId w:val="1001"/>
        </w:numPr>
      </w:pPr>
      <w:r>
        <w:t xml:space="preserve">A saved classifier can label large queries cheaply. Fitting and query adaptation must be reported separately from frozen prediction.</w:t>
      </w:r>
    </w:p>
    <w:p>
      <w:pPr>
        <w:pStyle w:val="Compact"/>
        <w:numPr>
          <w:ilvl w:val="0"/>
          <w:numId w:val="1001"/>
        </w:numPr>
      </w:pPr>
      <w:r>
        <w:t xml:space="preserve">Reference refinement and uncertainty inspection agree with ArchMap’s motivation. Unknown-cell percentage alone cannot establish classifier accuracy.</w:t>
      </w:r>
    </w:p>
    <w:p>
      <w:pPr>
        <w:pStyle w:val="Compact"/>
        <w:numPr>
          <w:ilvl w:val="0"/>
          <w:numId w:val="1001"/>
        </w:numPr>
      </w:pPr>
      <w:r>
        <w:t xml:space="preserve">These experiments measure labels and screening, not ArchMap’s integration quality or platform performance.</w:t>
      </w:r>
    </w:p>
    <w:bookmarkEnd w:id="203"/>
    <w:bookmarkStart w:id="20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Reference-based annotation assigns labels to new single-cell RNA-seq data using a labeled</w:t>
      </w:r>
      <w:r>
        <w:t xml:space="preserve"> </w:t>
      </w:r>
      <w:r>
        <w:t xml:space="preserve">reference or a pretrained model. Previous comparisons measured annotation accuracy</w:t>
      </w:r>
      <w:r>
        <w:t xml:space="preserve"> </w:t>
      </w:r>
      <w:hyperlink r:id="rId204">
        <w:r>
          <w:rPr>
            <w:rStyle w:val="Hyperlink"/>
          </w:rPr>
          <w:t xml:space="preserve">[Abdelaal 2019]</w:t>
        </w:r>
      </w:hyperlink>
      <w:r>
        <w:t xml:space="preserve">,</w:t>
      </w:r>
      <w:r>
        <w:t xml:space="preserve"> </w:t>
      </w:r>
      <w:hyperlink r:id="rId205">
        <w:r>
          <w:rPr>
            <w:rStyle w:val="Hyperlink"/>
          </w:rPr>
          <w:t xml:space="preserve">[Fu 2024]</w:t>
        </w:r>
      </w:hyperlink>
      <w:r>
        <w:t xml:space="preserve">. Analysts also need to know the label resolution a method can</w:t>
      </w:r>
      <w:r>
        <w:t xml:space="preserve"> </w:t>
      </w:r>
      <w:r>
        <w:t xml:space="preserve">support and the time and memory needed for the intended workload.</w:t>
      </w:r>
    </w:p>
    <w:p>
      <w:pPr>
        <w:pStyle w:val="BodyText"/>
      </w:pPr>
      <w:r>
        <w:t xml:space="preserve">ArchMap</w:t>
      </w:r>
      <w:r>
        <w:t xml:space="preserve"> </w:t>
      </w:r>
      <w:hyperlink r:id="rId206">
        <w:r>
          <w:rPr>
            <w:rStyle w:val="Hyperlink"/>
          </w:rPr>
          <w:t xml:space="preserve">[Lotfollahi et al. 2026]</w:t>
        </w:r>
      </w:hyperlink>
      <w:r>
        <w:t xml:space="preserve"> </w:t>
      </w:r>
      <w:r>
        <w:t xml:space="preserve">combines scArches query adaptation with label transfer,</w:t>
      </w:r>
      <w:r>
        <w:t xml:space="preserve"> </w:t>
      </w:r>
      <w:r>
        <w:t xml:space="preserve">uncertainty scores and interactive inspection of published or custom atlases. It produces</w:t>
      </w:r>
      <w:r>
        <w:t xml:space="preserve"> </w:t>
      </w:r>
      <w:r>
        <w:t xml:space="preserve">a shared reference-query embedding as well as labels. Pan-human Azimuth</w:t>
      </w:r>
      <w:r>
        <w:t xml:space="preserve"> </w:t>
      </w:r>
      <w:hyperlink r:id="rId207">
        <w:r>
          <w:rPr>
            <w:rStyle w:val="Hyperlink"/>
          </w:rPr>
          <w:t xml:space="preserve">[Sarkar et al. 2026]</w:t>
        </w:r>
      </w:hyperlink>
      <w:r>
        <w:t xml:space="preserve"> </w:t>
      </w:r>
      <w:r>
        <w:t xml:space="preserve">supplies a pretrained hierarchical human annotator. We share their motivation to make</w:t>
      </w:r>
      <w:r>
        <w:t xml:space="preserve"> </w:t>
      </w:r>
      <w:r>
        <w:t xml:space="preserve">reference-based analysis accessible. Our measurements address annotation accuracy and</w:t>
      </w:r>
      <w:r>
        <w:t xml:space="preserve"> </w:t>
      </w:r>
      <w:r>
        <w:t xml:space="preserve">resource use, which are only part of an integrated mapping workflow.</w:t>
      </w:r>
    </w:p>
    <w:p>
      <w:pPr>
        <w:pStyle w:val="BodyText"/>
      </w:pPr>
      <w:r>
        <w:t xml:space="preserve">We introduce actinn-jax, a JAX implementation of ACTINN</w:t>
      </w:r>
      <w:r>
        <w:t xml:space="preserve"> </w:t>
      </w:r>
      <w:hyperlink r:id="rId208">
        <w:r>
          <w:rPr>
            <w:rStyle w:val="Hyperlink"/>
          </w:rPr>
          <w:t xml:space="preserve">[Ma &amp; Pellegrini 2020]</w:t>
        </w:r>
      </w:hyperlink>
      <w:r>
        <w:t xml:space="preserve"> </w:t>
      </w:r>
      <w:r>
        <w:t xml:space="preserve">with sparse</w:t>
      </w:r>
      <w:r>
        <w:t xml:space="preserve"> </w:t>
      </w:r>
      <w:r>
        <w:t xml:space="preserve">preprocessing, saved references and chunked prediction. We compare eleven methods across</w:t>
      </w:r>
      <w:r>
        <w:t xml:space="preserve"> </w:t>
      </w:r>
      <w:r>
        <w:t xml:space="preserve">human datasets and evaluate scArches with weighted-neighbor label transfer against two</w:t>
      </w:r>
      <w:r>
        <w:t xml:space="preserve"> </w:t>
      </w:r>
      <w:r>
        <w:t xml:space="preserve">baselines on matched query cohorts. We separate reference fitting and query adaptation from</w:t>
      </w:r>
      <w:r>
        <w:t xml:space="preserve"> </w:t>
      </w:r>
      <w:r>
        <w:t xml:space="preserve">prediction using saved models. Focused-reference, distillation and agreement studies examine</w:t>
      </w:r>
      <w:r>
        <w:t xml:space="preserve"> </w:t>
      </w:r>
      <w:r>
        <w:t xml:space="preserve">how reference choice and repeated annotation affect the result.</w:t>
      </w:r>
    </w:p>
    <w:p>
      <w:pPr>
        <w:pStyle w:val="BodyText"/>
      </w:pPr>
      <w:r>
        <w:t xml:space="preserve">The central question is which computation is justified by the required output. A cell-label</w:t>
      </w:r>
      <w:r>
        <w:t xml:space="preserve"> </w:t>
      </w:r>
      <w:r>
        <w:t xml:space="preserve">task can use a frozen classifier; placing cells in a shared atlas embedding additionally</w:t>
      </w:r>
      <w:r>
        <w:t xml:space="preserve"> </w:t>
      </w:r>
      <w:r>
        <w:t xml:space="preserve">requires evaluation of batch mixing and biological conservation. We measure the former.</w:t>
      </w:r>
      <w:r>
        <w:t xml:space="preserve"> </w:t>
      </w:r>
      <w:r>
        <w:t xml:space="preserve">We also test confidence-based screening, where coverage and errors must be considered</w:t>
      </w:r>
      <w:r>
        <w:t xml:space="preserve"> </w:t>
      </w:r>
      <w:r>
        <w:t xml:space="preserve">together. These distinctions define where our findings support or qualify interpretations</w:t>
      </w:r>
      <w:r>
        <w:t xml:space="preserve"> </w:t>
      </w:r>
      <w:r>
        <w:t xml:space="preserve">of the ArchMap paper.</w:t>
      </w:r>
    </w:p>
    <w:bookmarkEnd w:id="209"/>
    <w:bookmarkStart w:id="211" w:name="materials-and-methods"/>
    <w:p>
      <w:pPr>
        <w:pStyle w:val="Heading1"/>
      </w:pPr>
      <w:r>
        <w:t xml:space="preserve">Materials and methods</w:t>
      </w:r>
    </w:p>
    <w:p>
      <w:pPr>
        <w:pStyle w:val="FirstParagraph"/>
      </w:pPr>
      <w:r>
        <w:rPr>
          <w:i/>
          <w:iCs/>
        </w:rPr>
        <w:t xml:space="preserve">actinn-jax.</w:t>
      </w:r>
      <w:r>
        <w:t xml:space="preserve"> </w:t>
      </w:r>
      <w:r>
        <w:t xml:space="preserve">ACTINN</w:t>
      </w:r>
      <w:r>
        <w:t xml:space="preserve"> </w:t>
      </w:r>
      <w:hyperlink r:id="rId208">
        <w:r>
          <w:rPr>
            <w:rStyle w:val="Hyperlink"/>
          </w:rPr>
          <w:t xml:space="preserve">[Ma &amp; Pellegrini 2020]</w:t>
        </w:r>
      </w:hyperlink>
      <w:r>
        <w:t xml:space="preserve"> </w:t>
      </w:r>
      <w:r>
        <w:t xml:space="preserve">is a fully connected network with 100/50/25</w:t>
      </w:r>
      <w:r>
        <w:t xml:space="preserve"> </w:t>
      </w:r>
      <w:r>
        <w:t xml:space="preserve">hidden units, ReLU activations, softmax output and Adam training. The JAX implementation</w:t>
      </w:r>
      <w:r>
        <w:t xml:space="preserve"> </w:t>
      </w:r>
      <w:r>
        <w:t xml:space="preserve">replaces TensorFlow-1.x graph and session code, uses sparse preprocessing, saves fitted</w:t>
      </w:r>
      <w:r>
        <w:t xml:space="preserve"> </w:t>
      </w:r>
      <w:r>
        <w:t xml:space="preserve">references and predicts in chunks. The extended report compares this implementation with</w:t>
      </w:r>
      <w:r>
        <w:t xml:space="preserve"> </w:t>
      </w:r>
      <w:r>
        <w:t xml:space="preserve">TensorFlow ACTINN.</w:t>
      </w:r>
    </w:p>
    <w:p>
      <w:pPr>
        <w:pStyle w:val="BodyText"/>
      </w:pPr>
      <w:r>
        <w:rPr>
          <w:i/>
          <w:iCs/>
        </w:rPr>
        <w:t xml:space="preserve">Methods and datasets.</w:t>
      </w:r>
      <w:r>
        <w:t xml:space="preserve"> </w:t>
      </w:r>
      <w:r>
        <w:t xml:space="preserve">Eleven reference-trained methods run eight splits of seven human</w:t>
      </w:r>
      <w:r>
        <w:t xml:space="preserve"> </w:t>
      </w:r>
      <w:r>
        <w:t xml:space="preserve">datasets; two pretrained annotators are evaluated where their vocabularies permit scoring</w:t>
      </w:r>
      <w:r>
        <w:t xml:space="preserve"> </w:t>
      </w:r>
      <w:r>
        <w:t xml:space="preserve">(Supplementary Tables S1 and S2). The splits cover lung within-dataset and cross-dataset,</w:t>
      </w:r>
      <w:r>
        <w:t xml:space="preserve"> </w:t>
      </w:r>
      <w:r>
        <w:t xml:space="preserve">liver within-dataset and cross-study, blood and gut, PBMC, and Allen middle temporal gyrus</w:t>
      </w:r>
      <w:r>
        <w:t xml:space="preserve"> </w:t>
      </w:r>
      <w:r>
        <w:t xml:space="preserve">nuclei at subclass and cluster resolution. The brain tasks use the Allen taxonomy at two resolutions with separately sampled inputs. SVM, kNN</w:t>
      </w:r>
      <w:r>
        <w:t xml:space="preserve"> </w:t>
      </w:r>
      <w:r>
        <w:t xml:space="preserve">and CellTypist use untuned settings; the linear pipeline follows the Souza and Mehta recipe</w:t>
      </w:r>
      <w:r>
        <w:t xml:space="preserve"> </w:t>
      </w:r>
      <w:hyperlink r:id="rId210">
        <w:r>
          <w:rPr>
            <w:rStyle w:val="Hyperlink"/>
          </w:rPr>
          <w:t xml:space="preserve">[Souza &amp; Mehta 2026]</w:t>
        </w:r>
      </w:hyperlink>
      <w:r>
        <w:t xml:space="preserve">. This is not a comparison under equal tuning budgets.</w:t>
      </w:r>
    </w:p>
    <w:p>
      <w:pPr>
        <w:pStyle w:val="BodyText"/>
      </w:pPr>
      <w:r>
        <w:rPr>
          <w:i/>
          <w:iCs/>
        </w:rPr>
        <w:t xml:space="preserve">scArches configuration.</w:t>
      </w:r>
      <w:r>
        <w:t xml:space="preserve"> </w:t>
      </w:r>
      <w:r>
        <w:t xml:space="preserve">scArches uses scANVI reference mapping, a 30-dimensional latent space, two hidden layers,</w:t>
      </w:r>
      <w:r>
        <w:t xml:space="preserve"> </w:t>
      </w:r>
      <w:r>
        <w:t xml:space="preserve">layer normalization and a batch covariate. Reference scVI and scANVI training use up to 200</w:t>
      </w:r>
      <w:r>
        <w:t xml:space="preserve"> </w:t>
      </w:r>
      <w:r>
        <w:t xml:space="preserve">and 100 epochs with early stopping, respectively. Query adaptation uses 100 fixed epochs;</w:t>
      </w:r>
      <w:r>
        <w:t xml:space="preserve"> </w:t>
      </w:r>
      <w:r>
        <w:t xml:space="preserve">labels are transferred by Gaussian-weighted voting among 15 reference neighbors. The</w:t>
      </w:r>
      <w:r>
        <w:t xml:space="preserve"> </w:t>
      </w:r>
      <w:r>
        <w:t xml:space="preserve">weighted-neighbor transfer and query-adaptation budget follow ArchMap</w:t>
      </w:r>
      <w:r>
        <w:t xml:space="preserve"> </w:t>
      </w:r>
      <w:hyperlink r:id="rId206">
        <w:r>
          <w:rPr>
            <w:rStyle w:val="Hyperlink"/>
          </w:rPr>
          <w:t xml:space="preserve">[Lotfollahi et al. 2026]</w:t>
        </w:r>
      </w:hyperlink>
      <w:r>
        <w:t xml:space="preserve">; reference training, atlas inputs and hardware are specific to this benchmark.</w:t>
      </w:r>
      <w:r>
        <w:t xml:space="preserve"> </w:t>
      </w:r>
      <w:r>
        <w:t xml:space="preserve">Supplementary Table S5 describes a faster native-head configuration used in the eleven-method</w:t>
      </w:r>
      <w:r>
        <w:t xml:space="preserve"> </w:t>
      </w:r>
      <w:r>
        <w:t xml:space="preserve">panel and screening experiments. It has a smaller training budget and is reported separately</w:t>
      </w:r>
      <w:r>
        <w:t xml:space="preserve"> </w:t>
      </w:r>
      <w:r>
        <w:t xml:space="preserve">from the weighted-neighbor comparator.</w:t>
      </w:r>
    </w:p>
    <w:p>
      <w:pPr>
        <w:pStyle w:val="BodyText"/>
      </w:pPr>
      <w:r>
        <w:rPr>
          <w:i/>
          <w:iCs/>
        </w:rPr>
        <w:t xml:space="preserve">Metrics.</w:t>
      </w:r>
      <w:r>
        <w:t xml:space="preserve"> </w:t>
      </w:r>
      <w:r>
        <w:t xml:space="preserve">We report exact label-string accuracy, macro-F1 and ontology concordance.</w:t>
      </w:r>
      <w:r>
        <w:t xml:space="preserve"> </w:t>
      </w:r>
      <w:r>
        <w:t xml:space="preserve">Concordance credits the same term or an ancestor-descendant relation, allowing comparison</w:t>
      </w:r>
      <w:r>
        <w:t xml:space="preserve"> </w:t>
      </w:r>
      <w:r>
        <w:t xml:space="preserve">across vocabularies while also crediting some errors in specificity. Brain’s supplied</w:t>
      </w:r>
      <w:r>
        <w:t xml:space="preserve"> </w:t>
      </w:r>
      <w:r>
        <w:t xml:space="preserve">ontology annotations map 24 subclasses to 18 terms and do not distinguish its 151 clusters;</w:t>
      </w:r>
      <w:r>
        <w:t xml:space="preserve"> </w:t>
      </w:r>
      <w:r>
        <w:t xml:space="preserve">brain is scored by exact match and macro-F1. This coarse crosswalk is a property of the</w:t>
      </w:r>
      <w:r>
        <w:t xml:space="preserve"> </w:t>
      </w:r>
      <w:r>
        <w:t xml:space="preserve">dataset annotation. The separate full-study liver demonstration reports exact ontology-term</w:t>
      </w:r>
      <w:r>
        <w:t xml:space="preserve"> </w:t>
      </w:r>
      <w:r>
        <w:t xml:space="preserve">match and lineage concordance, rather than label-string accuracy.</w:t>
      </w:r>
    </w:p>
    <w:p>
      <w:pPr>
        <w:pStyle w:val="BodyText"/>
      </w:pPr>
      <w:r>
        <w:rPr>
          <w:i/>
          <w:iCs/>
        </w:rPr>
        <w:t xml:space="preserve">Execution and accounting.</w:t>
      </w:r>
      <w:r>
        <w:t xml:space="preserve"> </w:t>
      </w:r>
      <w:r>
        <w:t xml:space="preserve">Methods run in separate environments on shared partitions,</w:t>
      </w:r>
      <w:r>
        <w:t xml:space="preserve"> </w:t>
      </w:r>
      <w:r>
        <w:t xml:space="preserve">with three repeats of each fixed partition. Repeats characterize training and runtime</w:t>
      </w:r>
      <w:r>
        <w:t xml:space="preserve"> </w:t>
      </w:r>
      <w:r>
        <w:t xml:space="preserve">variation, not donor or study generalization. The in-house panel uses Apple Silicon CPU</w:t>
      </w:r>
      <w:r>
        <w:t xml:space="preserve"> </w:t>
      </w:r>
      <w:r>
        <w:t xml:space="preserve">and MPS. Open Problems runs use AWS CPU instances through its Nextflow workflow. Stage</w:t>
      </w:r>
      <w:r>
        <w:t xml:space="preserve"> </w:t>
      </w:r>
      <w:r>
        <w:t xml:space="preserve">timings follow the adapters: scANVI trains jointly on reference and query in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, and</w:t>
      </w:r>
      <w:r>
        <w:t xml:space="preserve"> </w:t>
      </w:r>
      <w:r>
        <w:t xml:space="preserve">scArches adapts to the query there. Compare fit plus predict for complete annotation cost</w:t>
      </w:r>
      <w:r>
        <w:t xml:space="preserve"> </w:t>
      </w:r>
      <w:r>
        <w:t xml:space="preserve">(Supplementary Table S4). Both actinn-jax and the linear baseline retain fitted components</w:t>
      </w:r>
      <w:r>
        <w:t xml:space="preserve"> </w:t>
      </w:r>
      <w:r>
        <w:t xml:space="preserve">for later queries. Shared-instance cost ratios remain sensitive to contention and threading.</w:t>
      </w:r>
    </w:p>
    <w:p>
      <w:pPr>
        <w:pStyle w:val="BodyText"/>
      </w:pPr>
      <w:r>
        <w:rPr>
          <w:i/>
          <w:iCs/>
        </w:rPr>
        <w:t xml:space="preserve">Agreement and screening.</w:t>
      </w:r>
      <w:r>
        <w:t xml:space="preserve"> </w:t>
      </w:r>
      <w:r>
        <w:t xml:space="preserve">The census model, Pan-human Azimuth and its distilled student</w:t>
      </w:r>
      <w:r>
        <w:t xml:space="preserve"> </w:t>
      </w:r>
      <w:r>
        <w:t xml:space="preserve">are run on identical query cells. Calls agree when their CL mappings are identical or</w:t>
      </w:r>
      <w:r>
        <w:t xml:space="preserve"> </w:t>
      </w:r>
      <w:r>
        <w:t xml:space="preserve">ancestor-descendant related. The teacher and student are dependent annotators. Confidence</w:t>
      </w:r>
      <w:r>
        <w:t xml:space="preserve"> </w:t>
      </w:r>
      <w:r>
        <w:t xml:space="preserve">thresholds are evaluated by withholding cell types from reference training. Low-confidence</w:t>
      </w:r>
      <w:r>
        <w:t xml:space="preserve"> </w:t>
      </w:r>
      <w:r>
        <w:t xml:space="preserve">clusters and markers are reported for inspection; uncertainty alone does not establish novelty.</w:t>
      </w:r>
    </w:p>
    <w:p>
      <w:pPr>
        <w:pStyle w:val="BodyText"/>
      </w:pPr>
      <w:r>
        <w:rPr>
          <w:i/>
          <w:iCs/>
        </w:rPr>
        <w:t xml:space="preserve">Scaling and workflows.</w:t>
      </w:r>
      <w:r>
        <w:t xml:space="preserve"> </w:t>
      </w:r>
      <w:r>
        <w:t xml:space="preserve">The runtime sweep holds the query fixed when varying reference</w:t>
      </w:r>
      <w:r>
        <w:t xml:space="preserve"> </w:t>
      </w:r>
      <w:r>
        <w:t xml:space="preserve">size. The atlas accuracy sweeps cap cells per type and then split the sample, so both</w:t>
      </w:r>
      <w:r>
        <w:t xml:space="preserve"> </w:t>
      </w:r>
      <w:r>
        <w:t xml:space="preserve">partitions change. The large-query sweep holds the reference fixed. Focused liver validation</w:t>
      </w:r>
      <w:r>
        <w:t xml:space="preserve"> </w:t>
      </w:r>
      <w:r>
        <w:t xml:space="preserve">excludes the query study, but source-study exclusion from broad census corpora is not</w:t>
      </w:r>
      <w:r>
        <w:t xml:space="preserve"> </w:t>
      </w:r>
      <w:r>
        <w:t xml:space="preserve">established. The supplement supplies scaling, abstention and per-class results; the extended</w:t>
      </w:r>
      <w:r>
        <w:t xml:space="preserve"> </w:t>
      </w:r>
      <w:r>
        <w:t xml:space="preserve">report provides full protocols.</w:t>
      </w:r>
    </w:p>
    <w:bookmarkEnd w:id="211"/>
    <w:bookmarkStart w:id="228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The eleven-method panel includes scArches with its native classifier head. The matched</w:t>
      </w:r>
      <w:r>
        <w:t xml:space="preserve"> </w:t>
      </w:r>
      <w:r>
        <w:t xml:space="preserve">comparison in Figure 1 uses weighted-neighbor label transfer and the training settings</w:t>
      </w:r>
      <w:r>
        <w:t xml:space="preserve"> </w:t>
      </w:r>
      <w:r>
        <w:t xml:space="preserve">described in Methods.</w:t>
      </w:r>
    </w:p>
    <w:bookmarkStart w:id="215" w:name="accuracy-and-cost-depend-on-the-task"/>
    <w:p>
      <w:pPr>
        <w:pStyle w:val="Heading2"/>
      </w:pPr>
      <w:r>
        <w:t xml:space="preserve">Accuracy and cost depend on the task</w:t>
      </w:r>
    </w:p>
    <w:p>
      <w:pPr>
        <w:pStyle w:val="FirstParagraph"/>
      </w:pPr>
      <w:r>
        <w:t xml:space="preserve">The top four mean accuracies span 0.008 across five shared-vocabulary non-brain splits</w:t>
      </w:r>
      <w:r>
        <w:t xml:space="preserve"> </w:t>
      </w:r>
      <w:r>
        <w:t xml:space="preserve">(Table 1). Their stage timings differ substantially, but the 58.7 s scANVI predict stage</w:t>
      </w:r>
      <w:r>
        <w:t xml:space="preserve"> </w:t>
      </w:r>
      <w:r>
        <w:t xml:space="preserve">includes training and the 0.24 s actinn-jax stage uses a fitted model. Their complete-job</w:t>
      </w:r>
      <w:r>
        <w:t xml:space="preserve"> </w:t>
      </w:r>
      <w:r>
        <w:t xml:space="preserve">times are 58.7 and 10.54 s, respectively. Fixed-partition repeats do not establish that</w:t>
      </w:r>
      <w:r>
        <w:t xml:space="preserve"> </w:t>
      </w:r>
      <w:r>
        <w:t xml:space="preserve">the methods are equivalent. actinn-jax and scANVI share the highest rounded ontology</w:t>
      </w:r>
      <w:r>
        <w:t xml:space="preserve"> </w:t>
      </w:r>
      <w:r>
        <w:t xml:space="preserve">concordance in this aggregate, 0.811.</w:t>
      </w:r>
    </w:p>
    <w:p>
      <w:pPr>
        <w:pStyle w:val="BodyText"/>
      </w:pPr>
      <w:r>
        <w:drawing>
          <wp:inline>
            <wp:extent cx="5334000" cy="3455684"/>
            <wp:effectExtent b="0" l="0" r="0" t="0"/>
            <wp:docPr descr="Matched annotation accuracy and resource use" title="" id="213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matched_annotation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Annotation agreement and cost. A: exact accuracy on shared-vocabulary tasks;</w:t>
      </w:r>
      <w:r>
        <w:t xml:space="preserve"> </w:t>
      </w:r>
      <w:r>
        <w:t xml:space="preserve">Cell Ontology concordance for lung across datasets (shaded row). Concordance credits identical</w:t>
      </w:r>
      <w:r>
        <w:t xml:space="preserve"> </w:t>
      </w:r>
      <w:r>
        <w:t xml:space="preserve">terms or an ancestor–descendant relationship, rather than fine-type accuracy. B: macro-F1 on</w:t>
      </w:r>
      <w:r>
        <w:t xml:space="preserve"> </w:t>
      </w:r>
      <w:r>
        <w:t xml:space="preserve">shared-vocabulary tasks. C: fit-plus-predict time (log scale). D: peak process memory. Methods</w:t>
      </w:r>
      <w:r>
        <w:t xml:space="preserve"> </w:t>
      </w:r>
      <w:r>
        <w:t xml:space="preserve">share query cells within each row. Points and bars show means and ranges of three repeats,</w:t>
      </w:r>
      <w:r>
        <w:t xml:space="preserve"> </w:t>
      </w:r>
      <w:r>
        <w:t xml:space="preserve">not donor confidence intervals. ArchMap platform and integration quality were not evaluated.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ontology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mem 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linear-anova-pca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scArches (native head)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actinn-jax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CellTypist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ProtoCloud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scmap-cluster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8637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Accuracy and macro-F1 average five shared-vocabulary non-brain splits; ontology concordance averages four splits. Brain: Supplementary Table S3. scArches uses its native head. *scANVI trains and scArches adapts queries in predict. Complete-job times: Supplementary Table S4.</w:t>
      </w:r>
    </w:p>
    <w:p>
      <w:pPr>
        <w:pStyle w:val="BodyText"/>
      </w:pPr>
      <w:r>
        <w:t xml:space="preserve">Rankings differ between the in-house and Open Problems panels and across atlas samples</w:t>
      </w:r>
      <w:r>
        <w:t xml:space="preserve"> </w:t>
      </w:r>
      <w:r>
        <w:t xml:space="preserve">(Supplementary Figure S6). These comparisons change datasets, feature budgets or partitions,</w:t>
      </w:r>
      <w:r>
        <w:t xml:space="preserve"> </w:t>
      </w:r>
      <w:r>
        <w:t xml:space="preserve">and therefore do not isolate a single cause of the reversal.</w:t>
      </w:r>
    </w:p>
    <w:p>
      <w:pPr>
        <w:pStyle w:val="BodyText"/>
      </w:pPr>
      <w:r>
        <w:t xml:space="preserve">Label resolution also matters. At Allen’s 24 subclasses, ten methods fall within 0.017 of</w:t>
      </w:r>
      <w:r>
        <w:t xml:space="preserve"> </w:t>
      </w:r>
      <w:r>
        <w:t xml:space="preserve">each other. In the eleven-method panel at 151 clusters, SingleR leads at 0.845 and actinn-jax ranks tenth at 0.741. The weighted-neighbor scArches comparison uses a separately sampled cohort (Table 3).</w:t>
      </w:r>
      <w:r>
        <w:t xml:space="preserve"> </w:t>
      </w:r>
      <w:r>
        <w:t xml:space="preserve">Cluster labels derive from expression-space clustering, a possible explanation for the</w:t>
      </w:r>
      <w:r>
        <w:t xml:space="preserve"> </w:t>
      </w:r>
      <w:r>
        <w:t xml:space="preserve">strong correlation-method results; its causal contribution was not isolated.</w:t>
      </w:r>
    </w:p>
    <w:p>
      <w:pPr>
        <w:pStyle w:val="BodyText"/>
      </w:pPr>
      <w:r>
        <w:t xml:space="preserve">The zero-shot scPRINT label head scores 0.201 ontology concordance on the lung query versus</w:t>
      </w:r>
      <w:r>
        <w:t xml:space="preserve"> </w:t>
      </w:r>
      <w:r>
        <w:t xml:space="preserve">0.917 for reference-trained actinn-jax. Their training information and vocabularies differ,</w:t>
      </w:r>
      <w:r>
        <w:t xml:space="preserve"> </w:t>
      </w:r>
      <w:r>
        <w:t xml:space="preserve">so this does not isolate architecture or assess every use of foundation-model embeddings.</w:t>
      </w:r>
      <w:r>
        <w:t xml:space="preserve"> </w:t>
      </w:r>
      <w:r>
        <w:t xml:space="preserve">The extended report separately describes results under the published Open Problems protocol</w:t>
      </w:r>
      <w:r>
        <w:t xml:space="preserve"> </w:t>
      </w:r>
      <w:r>
        <w:t xml:space="preserve">and the same-instance CPU comparison.</w:t>
      </w:r>
    </w:p>
    <w:p>
      <w:pPr>
        <w:pStyle w:val="BodyText"/>
      </w:pPr>
      <w:r>
        <w:t xml:space="preserve">In the six-method CPU runtime sweep, prediction remains sub-second, and several fitted</w:t>
      </w:r>
      <w:r>
        <w:t xml:space="preserve"> </w:t>
      </w:r>
      <w:r>
        <w:t xml:space="preserve">models have nearly flat prediction cost as reference size increases (Supplementary Figure</w:t>
      </w:r>
      <w:r>
        <w:t xml:space="preserve"> </w:t>
      </w:r>
      <w:r>
        <w:t xml:space="preserve">S7). This behavior is not unique to actinn-jax. With a fixed reference and a large query,</w:t>
      </w:r>
      <w:r>
        <w:t xml:space="preserve"> </w:t>
      </w:r>
      <w:r>
        <w:t xml:space="preserve">actinn-jax labels 524,699 cells in 31 s versus 67 s for the linear pipeline; both have</w:t>
      </w:r>
      <w:r>
        <w:t xml:space="preserve"> </w:t>
      </w:r>
      <w:r>
        <w:t xml:space="preserve">similar whole-process peak memory at that query size (Supplementary Figure S8).</w:t>
      </w:r>
    </w:p>
    <w:bookmarkEnd w:id="215"/>
    <w:bookmarkStart w:id="219" w:name="X91bc1feef61a0a1c41e006ce5406c35937ace73"/>
    <w:p>
      <w:pPr>
        <w:pStyle w:val="Heading2"/>
      </w:pPr>
      <w:r>
        <w:t xml:space="preserve">Broad annotation followed by focused annotation</w:t>
      </w:r>
    </w:p>
    <w:p>
      <w:pPr>
        <w:pStyle w:val="FirstParagraph"/>
      </w:pPr>
      <w:r>
        <w:t xml:space="preserve">That budget pays for a workflow instead of a single call (Figure 2). A roughly 800-type census</w:t>
      </w:r>
      <w:r>
        <w:t xml:space="preserve"> </w:t>
      </w:r>
      <w:r>
        <w:t xml:space="preserve">reference provides labels over the types it covers without a supplied tissue; resolving those calls</w:t>
      </w:r>
      <w:r>
        <w:t xml:space="preserve"> </w:t>
      </w:r>
      <w:r>
        <w:t xml:space="preserve">through the reference’s per-class tissue map identifies the tissue; a small focused reference</w:t>
      </w:r>
      <w:r>
        <w:t xml:space="preserve"> </w:t>
      </w:r>
      <w:r>
        <w:t xml:space="preserve">for that tissue then re-annotates the same cells at full resolution. On 56,545</w:t>
      </w:r>
      <w:r>
        <w:t xml:space="preserve"> </w:t>
      </w:r>
      <w:r>
        <w:rPr>
          <w:rStyle w:val="VerbatimChar"/>
        </w:rPr>
        <w:t xml:space="preserve">Andrews_2022</w:t>
      </w:r>
      <w:r>
        <w:t xml:space="preserve"> </w:t>
      </w:r>
      <w:r>
        <w:t xml:space="preserve">cells excluded from focused-reference training, the broad model</w:t>
      </w:r>
      <w:r>
        <w:t xml:space="preserve"> </w:t>
      </w:r>
      <w:r>
        <w:t xml:space="preserve">scores 0.231 by exact ontology-term match and 0.580 by lineage concordance; the 38-type</w:t>
      </w:r>
      <w:r>
        <w:t xml:space="preserve"> </w:t>
      </w:r>
      <w:r>
        <w:t xml:space="preserve">focused validation model scores 0.728 and 0.858. This full-study experiment differs from</w:t>
      </w:r>
      <w:r>
        <w:t xml:space="preserve"> </w:t>
      </w:r>
      <w:r>
        <w:t xml:space="preserve">Figure 2’s capped, 3,396-cell comparison using a 36-type reference. The released liver</w:t>
      </w:r>
      <w:r>
        <w:t xml:space="preserve"> </w:t>
      </w:r>
      <w:r>
        <w:t xml:space="preserve">weights are trained on all studies, separately from these validation models.</w:t>
      </w:r>
    </w:p>
    <w:p>
      <w:pPr>
        <w:pStyle w:val="BodyText"/>
      </w:pPr>
      <w:r>
        <w:t xml:space="preserve">The two passes hand off. Substituting a stronger broad model lifts the broad call but changes</w:t>
      </w:r>
      <w:r>
        <w:t xml:space="preserve"> </w:t>
      </w:r>
      <w:r>
        <w:t xml:space="preserve">nothing downstream, and using it to narrow the focused pass’s classes makes the result worse,</w:t>
      </w:r>
      <w:r>
        <w:t xml:space="preserve"> </w:t>
      </w:r>
      <w:r>
        <w:t xml:space="preserve">from 0.731 to 0.708, because a wrong mask discards the correct class outright. Once the</w:t>
      </w:r>
      <w:r>
        <w:t xml:space="preserve"> </w:t>
      </w:r>
      <w:r>
        <w:t xml:space="preserve">focused reference covers the tissue, the broad model’s value is routing rather than</w:t>
      </w:r>
      <w:r>
        <w:t xml:space="preserve"> </w:t>
      </w:r>
      <w:r>
        <w:t xml:space="preserve">resolution.</w:t>
      </w:r>
    </w:p>
    <w:p>
      <w:pPr>
        <w:pStyle w:val="BodyText"/>
      </w:pPr>
      <w:r>
        <w:drawing>
          <wp:inline>
            <wp:extent cx="5334000" cy="1965681"/>
            <wp:effectExtent b="0" l="0" r="0" t="0"/>
            <wp:docPr descr="workflow" title="" id="217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workflow_umap_ondata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The workflow on a withheld liver study (3,396 cells), same embedding</w:t>
      </w:r>
      <w:r>
        <w:t xml:space="preserve"> </w:t>
      </w:r>
      <w:r>
        <w:t xml:space="preserve">throughout. The census reference spreads 144 of its 798 labels over the query (concordance</w:t>
      </w:r>
      <w:r>
        <w:t xml:space="preserve"> </w:t>
      </w:r>
      <w:r>
        <w:t xml:space="preserve">0.34); resolving those calls to tissue gives 76% liver against 4% for the next candidate,</w:t>
      </w:r>
      <w:r>
        <w:t xml:space="preserve"> </w:t>
      </w:r>
      <w:r>
        <w:t xml:space="preserve">which selects the reference to load; the 36-type liver reference then re-annotates the same</w:t>
      </w:r>
      <w:r>
        <w:t xml:space="preserve"> </w:t>
      </w:r>
      <w:r>
        <w:t xml:space="preserve">cells at 0.73. Rightmost panel is the study’s own labels. Only the focused reference has</w:t>
      </w:r>
      <w:r>
        <w:t xml:space="preserve"> </w:t>
      </w:r>
      <w:r>
        <w:t xml:space="preserve">a verified source-study holdout; the broad census corpus may include the query’s study.</w:t>
      </w:r>
    </w:p>
    <w:bookmarkEnd w:id="219"/>
    <w:bookmarkStart w:id="220" w:name="broad-references-and-distillation"/>
    <w:p>
      <w:pPr>
        <w:pStyle w:val="Heading2"/>
      </w:pPr>
      <w:r>
        <w:t xml:space="preserve">Broad references and distillation</w:t>
      </w:r>
    </w:p>
    <w:p>
      <w:pPr>
        <w:pStyle w:val="FirstParagraph"/>
      </w:pPr>
      <w:r>
        <w:t xml:space="preserve">Building a broad reference from the census requires a foundation model on a GPU to discover</w:t>
      </w:r>
      <w:r>
        <w:t xml:space="preserve"> </w:t>
      </w:r>
      <w:r>
        <w:t xml:space="preserve">its hierarchy. A pretrained pan-human annotator</w:t>
      </w:r>
      <w:r>
        <w:t xml:space="preserve"> </w:t>
      </w:r>
      <w:hyperlink r:id="rId207">
        <w:r>
          <w:rPr>
            <w:rStyle w:val="Hyperlink"/>
          </w:rPr>
          <w:t xml:space="preserve">[Sarkar et al. 2026]</w:t>
        </w:r>
      </w:hyperlink>
      <w:r>
        <w:t xml:space="preserve"> </w:t>
      </w:r>
      <w:r>
        <w:t xml:space="preserve">already publishes one, so</w:t>
      </w:r>
      <w:r>
        <w:t xml:space="preserve"> </w:t>
      </w:r>
      <w:r>
        <w:t xml:space="preserve">labeling a corpus with it and training on those labels transfers both vocabulary and</w:t>
      </w:r>
      <w:r>
        <w:t xml:space="preserve"> </w:t>
      </w:r>
      <w:r>
        <w:t xml:space="preserve">structure, using only raw counts, no GPU and no labeled input, in under ten minutes of CPU.</w:t>
      </w:r>
      <w:r>
        <w:t xml:space="preserve"> </w:t>
      </w:r>
      <w:r>
        <w:t xml:space="preserve">On this liver query the student scores 0.406 versus the teacher’s 0.408 and the census</w:t>
      </w:r>
      <w:r>
        <w:t xml:space="preserve"> </w:t>
      </w:r>
      <w:r>
        <w:t xml:space="preserve">model’s 0.338, at six to nine times the teacher’s throughput (Table 2). On withheld-atlas</w:t>
      </w:r>
      <w:r>
        <w:t xml:space="preserve"> </w:t>
      </w:r>
      <w:r>
        <w:t xml:space="preserve">comparisons, student-teacher concordance gaps are 1.5 points on lung and 3.0 on liver.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broad-pass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ontology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census-built, 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Pan-human Azimuth (teacher)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1,076-1,563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distilled from Azimuth, 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8,937-10,021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Broad-pass entry points on 3,396 withheld cross-study liver cells, all three</w:t>
      </w:r>
      <w:r>
        <w:t xml:space="preserve"> </w:t>
      </w:r>
      <w:r>
        <w:t xml:space="preserve">scored on identical cells through one script. The distilled student needs only raw human</w:t>
      </w:r>
      <w:r>
        <w:t xml:space="preserve"> </w:t>
      </w:r>
      <w:r>
        <w:t xml:space="preserve">counts to build and inherits the teacher’s vocabulary and hierarchy. It does not inherit the</w:t>
      </w:r>
      <w:r>
        <w:t xml:space="preserve"> </w:t>
      </w:r>
      <w:r>
        <w:t xml:space="preserve">teacher’s calibrated abstention, which remains a limitation. The similar concordance on this query does not establish equivalence across tissues or</w:t>
      </w:r>
      <w:r>
        <w:t xml:space="preserve"> </w:t>
      </w:r>
      <w:r>
        <w:t xml:space="preserve">exclude source-study overlap with the census corpus.</w:t>
      </w:r>
    </w:p>
    <w:p>
      <w:pPr>
        <w:pStyle w:val="BodyText"/>
      </w:pPr>
      <w:r>
        <w:t xml:space="preserve">The census hierarchy can also be built without a GPU. Deriving the coarse hierarchy from Cell</w:t>
      </w:r>
      <w:r>
        <w:t xml:space="preserve"> </w:t>
      </w:r>
      <w:r>
        <w:t xml:space="preserve">Ontology lineage rather than from a foundation-model embedding beats both no hierarchy at all</w:t>
      </w:r>
      <w:r>
        <w:t xml:space="preserve"> </w:t>
      </w:r>
      <w:r>
        <w:t xml:space="preserve">(0.616 against 0.547) and a same-sized random grouping (0.539), consistent with useful lineage structure. The experiment uses one random grouping and</w:t>
      </w:r>
      <w:r>
        <w:t xml:space="preserve"> </w:t>
      </w:r>
      <w:r>
        <w:t xml:space="preserve">cell-level intervals that omit donor dependence and training variation. Using the same lineage procedure, that route also</w:t>
      </w:r>
      <w:r>
        <w:t xml:space="preserve"> </w:t>
      </w:r>
      <w:r>
        <w:t xml:space="preserve">reaches a second organism: a pan-mouse reference of 453 types across 85 tissues reaches 0.638</w:t>
      </w:r>
      <w:r>
        <w:t xml:space="preserve"> </w:t>
      </w:r>
      <w:r>
        <w:t xml:space="preserve">ontology concordance on two withheld datasets after 17 s of CPU.</w:t>
      </w:r>
    </w:p>
    <w:bookmarkEnd w:id="220"/>
    <w:bookmarkStart w:id="225" w:name="X5c1a00775f3145de505e0061f5bc2d03e9be457"/>
    <w:p>
      <w:pPr>
        <w:pStyle w:val="Heading2"/>
      </w:pPr>
      <w:r>
        <w:t xml:space="preserve">Agreement identifies subsets with higher concordance</w:t>
      </w:r>
    </w:p>
    <w:p>
      <w:pPr>
        <w:pStyle w:val="FirstParagraph"/>
      </w:pPr>
      <w:r>
        <w:t xml:space="preserve">We ran the census model, teacher and student over identical query cells. The teacher and</w:t>
      </w:r>
      <w:r>
        <w:t xml:space="preserve"> </w:t>
      </w:r>
      <w:r>
        <w:t xml:space="preserve">student are dependent because the student learns the teacher’s labels. Scored</w:t>
      </w:r>
      <w:r>
        <w:t xml:space="preserve"> </w:t>
      </w:r>
      <w:r>
        <w:t xml:space="preserve">on identical cells and compared in the Cell Ontology, they partition each query by agreement</w:t>
      </w:r>
      <w:r>
        <w:t xml:space="preserve"> </w:t>
      </w:r>
      <w:r>
        <w:t xml:space="preserve">(Figure 3). We ran this on three tissues: withheld cross-study liver (3,396 cells, 34 truth</w:t>
      </w:r>
      <w:r>
        <w:t xml:space="preserve"> </w:t>
      </w:r>
      <w:r>
        <w:t xml:space="preserve">types), the Krasnow lung atlas (65,662 cells, 46 types), and the Allen human middle temporal</w:t>
      </w:r>
      <w:r>
        <w:t xml:space="preserve"> </w:t>
      </w:r>
      <w:r>
        <w:t xml:space="preserve">gyrus (156,285 cells, 18 types).</w:t>
      </w:r>
    </w:p>
    <w:p>
      <w:pPr>
        <w:pStyle w:val="BodyText"/>
      </w:pPr>
      <w:r>
        <w:t xml:space="preserve">One result holds everywhere. Cells on which the references disagree are annotated far less</w:t>
      </w:r>
      <w:r>
        <w:t xml:space="preserve"> </w:t>
      </w:r>
      <w:r>
        <w:t xml:space="preserve">reliably than cells on which they concur, for every reference and in every tissue: the census</w:t>
      </w:r>
      <w:r>
        <w:t xml:space="preserve"> </w:t>
      </w:r>
      <w:r>
        <w:t xml:space="preserve">model falls from 0.690 to 0.212 across the liver partition, 0.934 to 0.059 across lung, and</w:t>
      </w:r>
      <w:r>
        <w:t xml:space="preserve"> </w:t>
      </w:r>
      <w:r>
        <w:t xml:space="preserve">0.839 to 0.117 across brain, with the same direction for the other two. Agreement can be computed without truth labels, while its association with correctness</w:t>
      </w:r>
      <w:r>
        <w:t xml:space="preserve"> </w:t>
      </w:r>
      <w:r>
        <w:t xml:space="preserve">requires labeled evaluation. Correlated teacher-student errors and shared ontology mappings</w:t>
      </w:r>
      <w:r>
        <w:t xml:space="preserve"> </w:t>
      </w:r>
      <w:r>
        <w:t xml:space="preserve">may contribute to that association. Computing it costs three annotation runs, including</w:t>
      </w:r>
      <w:r>
        <w:t xml:space="preserve"> </w:t>
      </w:r>
      <w:r>
        <w:t xml:space="preserve">the teacher’s runtime.</w:t>
      </w:r>
    </w:p>
    <w:p>
      <w:pPr>
        <w:pStyle w:val="BodyText"/>
      </w:pPr>
      <w:r>
        <w:t xml:space="preserve">What varies, and varies enormously, is how much of a query the agreeing set covers: 23% on</w:t>
      </w:r>
      <w:r>
        <w:t xml:space="preserve"> </w:t>
      </w:r>
      <w:r>
        <w:t xml:space="preserve">liver, 48% on lung, 94% on brain. The brain figure is the instructive one. That query’s Cell</w:t>
      </w:r>
      <w:r>
        <w:t xml:space="preserve"> </w:t>
      </w:r>
      <w:r>
        <w:t xml:space="preserve">Ontology annotation uses 18 terms for a region whose own working taxonomy,</w:t>
      </w:r>
      <w:r>
        <w:t xml:space="preserve"> </w:t>
      </w:r>
      <w:r>
        <w:rPr>
          <w:rStyle w:val="VerbatimChar"/>
        </w:rPr>
        <w:t xml:space="preserve">CCN201908210</w:t>
      </w:r>
      <w:r>
        <w:t xml:space="preserve">,</w:t>
      </w:r>
      <w:r>
        <w:t xml:space="preserve"> </w:t>
      </w:r>
      <w:r>
        <w:t xml:space="preserve">defines 154 cell sets, and 55% of its cells fall in a single class. The coarse truth crosswalk credits within-lineage confusions. Agreement coverage also</w:t>
      </w:r>
      <w:r>
        <w:t xml:space="preserve"> </w:t>
      </w:r>
      <w:r>
        <w:t xml:space="preserve">depends on the annotators and their output mappings; we did not isolate which factors</w:t>
      </w:r>
      <w:r>
        <w:t xml:space="preserve"> </w:t>
      </w:r>
      <w:r>
        <w:t xml:space="preserve">explain the coverage difference across tissues.</w:t>
      </w:r>
    </w:p>
    <w:p>
      <w:pPr>
        <w:pStyle w:val="BodyText"/>
      </w:pPr>
      <w:r>
        <w:t xml:space="preserve">The tested consensus rule does not outperform the best single annotator in any tissue. Taking the most specific call the</w:t>
      </w:r>
      <w:r>
        <w:t xml:space="preserve"> </w:t>
      </w:r>
      <w:r>
        <w:t xml:space="preserve">agreeing references support scores 0.365 on liver against the best single reference’s 0.408,</w:t>
      </w:r>
      <w:r>
        <w:t xml:space="preserve"> </w:t>
      </w:r>
      <w:r>
        <w:t xml:space="preserve">0.828 on lung against 0.831, and 0.837 on brain against 0.987. That last gap is the largest</w:t>
      </w:r>
      <w:r>
        <w:t xml:space="preserve"> </w:t>
      </w:r>
      <w:r>
        <w:t xml:space="preserve">because choosing the deepest agreeing call lets one reference’s confident, lineage-compatible</w:t>
      </w:r>
      <w:r>
        <w:t xml:space="preserve"> </w:t>
      </w:r>
      <w:r>
        <w:t xml:space="preserve">but wrong specificity override two correct coarser calls. This rule did not improve on the best single annotator. Agreement provides a signal for</w:t>
      </w:r>
      <w:r>
        <w:t xml:space="preserve"> </w:t>
      </w:r>
      <w:r>
        <w:t xml:space="preserve">inspection rather than a validated guarantee of reliability.</w:t>
      </w:r>
    </w:p>
    <w:p>
      <w:pPr>
        <w:pStyle w:val="BodyText"/>
      </w:pPr>
      <w:r>
        <w:t xml:space="preserve">Agreement is defined by the Cell Ontology, and the comparison was possible only because all</w:t>
      </w:r>
      <w:r>
        <w:t xml:space="preserve"> </w:t>
      </w:r>
      <w:r>
        <w:t xml:space="preserve">three references carry Cell Ontology terms. The Common Cell type Nomenclature</w:t>
      </w:r>
      <w:r>
        <w:t xml:space="preserve"> </w:t>
      </w:r>
      <w:hyperlink r:id="rId221">
        <w:r>
          <w:rPr>
            <w:rStyle w:val="Hyperlink"/>
          </w:rPr>
          <w:t xml:space="preserve">[Miller 2020]</w:t>
        </w:r>
      </w:hyperlink>
      <w:r>
        <w:t xml:space="preserve"> </w:t>
      </w:r>
      <w:r>
        <w:t xml:space="preserve">answers the same problem differently, giving each taxonomy’s cell sets stable accessions and a</w:t>
      </w:r>
      <w:r>
        <w:t xml:space="preserve"> </w:t>
      </w:r>
      <w:r>
        <w:t xml:space="preserve">curated alias layer rather than a shared coordinate system. The two are complements rather</w:t>
      </w:r>
      <w:r>
        <w:t xml:space="preserve"> </w:t>
      </w:r>
      <w:r>
        <w:t xml:space="preserve">than substitutes: in the published human MTG taxonomy</w:t>
      </w:r>
      <w:r>
        <w:t xml:space="preserve"> </w:t>
      </w:r>
      <w:r>
        <w:rPr>
          <w:rStyle w:val="VerbatimChar"/>
        </w:rPr>
        <w:t xml:space="preserve">CCN201908210</w:t>
      </w:r>
      <w:r>
        <w:t xml:space="preserve"> </w:t>
      </w:r>
      <w:r>
        <w:t xml:space="preserve">the 154 cell sets carry</w:t>
      </w:r>
      <w:r>
        <w:t xml:space="preserve"> </w:t>
      </w:r>
      <w:r>
        <w:t xml:space="preserve">an anatomical tag but no cell-type ontology id, and the field that matches cell sets across</w:t>
      </w:r>
      <w:r>
        <w:t xml:space="preserve"> </w:t>
      </w:r>
      <w:r>
        <w:t xml:space="preserve">taxonomies is filled for 23 of them. CL supplies an ancestor-descendant relation for mapped terms; CCN supplies the provenance CL cannot, recording which</w:t>
      </w:r>
      <w:r>
        <w:t xml:space="preserve"> </w:t>
      </w:r>
      <w:r>
        <w:t xml:space="preserve">taxonomy and publication each label came from. A workflow that compares annotations across</w:t>
      </w:r>
      <w:r>
        <w:t xml:space="preserve"> </w:t>
      </w:r>
      <w:r>
        <w:t xml:space="preserve">references wants both.</w:t>
      </w:r>
    </w:p>
    <w:p>
      <w:pPr>
        <w:pStyle w:val="BodyText"/>
      </w:pPr>
      <w:r>
        <w:drawing>
          <wp:inline>
            <wp:extent cx="5334000" cy="1663557"/>
            <wp:effectExtent b="0" l="0" r="0" t="0"/>
            <wp:docPr descr="reference agreement" title="" id="223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consensus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Ontology concordance within each agreement tier for three broad references, on</w:t>
      </w:r>
      <w:r>
        <w:t xml:space="preserve"> </w:t>
      </w:r>
      <w:r>
        <w:t xml:space="preserve">withheld cross-study liver (</w:t>
      </w:r>
      <w:r>
        <w:rPr>
          <w:i/>
          <w:iCs/>
        </w:rPr>
        <w:t xml:space="preserve">A</w:t>
      </w:r>
      <w:r>
        <w:t xml:space="preserve">), the Krasnow lung atlas (</w:t>
      </w:r>
      <w:r>
        <w:rPr>
          <w:i/>
          <w:iCs/>
        </w:rPr>
        <w:t xml:space="preserve">B</w:t>
      </w:r>
      <w:r>
        <w:t xml:space="preserve">) and the Allen human middle</w:t>
      </w:r>
      <w:r>
        <w:t xml:space="preserve"> </w:t>
      </w:r>
      <w:r>
        <w:t xml:space="preserve">temporal gyrus (</w:t>
      </w:r>
      <w:r>
        <w:rPr>
          <w:i/>
          <w:iCs/>
        </w:rPr>
        <w:t xml:space="preserve">C</w:t>
      </w:r>
      <w:r>
        <w:t xml:space="preserve">); dashed lines are the same models over the whole query. Agreement is</w:t>
      </w:r>
      <w:r>
        <w:t xml:space="preserve"> </w:t>
      </w:r>
      <w:r>
        <w:t xml:space="preserve">evaluated in the Cell Ontology because the three references answer in different vocabularies</w:t>
      </w:r>
      <w:r>
        <w:t xml:space="preserve"> </w:t>
      </w:r>
      <w:r>
        <w:t xml:space="preserve">(798, 382 and 324 classes). All-three-agree subsets score higher in each tissue, but their coverage differs. The</w:t>
      </w:r>
      <w:r>
        <w:t xml:space="preserve"> </w:t>
      </w:r>
      <w:r>
        <w:t xml:space="preserve">distilled model learns from Azimuth, so these are not three independent references.</w:t>
      </w:r>
    </w:p>
    <w:bookmarkEnd w:id="225"/>
    <w:bookmarkStart w:id="226" w:name="X0388d6d96193ec9277c1f85e288105b101f1761"/>
    <w:p>
      <w:pPr>
        <w:pStyle w:val="Heading2"/>
      </w:pPr>
      <w:r>
        <w:t xml:space="preserve">Confidence screening for withheld cell types</w:t>
      </w:r>
    </w:p>
    <w:p>
      <w:pPr>
        <w:pStyle w:val="FirstParagraph"/>
      </w:pPr>
      <w:r>
        <w:t xml:space="preserve">Withholding 9 of 36 cell types from the liver reference creates a query containing</w:t>
      </w:r>
      <w:r>
        <w:t xml:space="preserve"> </w:t>
      </w:r>
      <w:r>
        <w:t xml:space="preserve">1,350 cells of types absent from supervised training. Five of the eight methods with a</w:t>
      </w:r>
      <w:r>
        <w:t xml:space="preserve"> </w:t>
      </w:r>
      <w:r>
        <w:t xml:space="preserve">confidence score trade coverage for accuracy across the sweep; three show little movement</w:t>
      </w:r>
      <w:r>
        <w:t xml:space="preserve"> </w:t>
      </w:r>
      <w:r>
        <w:t xml:space="preserve">or discard most cells at the tested thresholds (Supplementary Figures S9 and S10).</w:t>
      </w:r>
    </w:p>
    <w:p>
      <w:pPr>
        <w:pStyle w:val="BodyText"/>
      </w:pPr>
      <w:r>
        <w:t xml:space="preserve">At p ≥ 0.9, actinn-jax retains 66% of cells at 0.969 accuracy and flags 73% of held-out-type</w:t>
      </w:r>
      <w:r>
        <w:t xml:space="preserve"> </w:t>
      </w:r>
      <w:r>
        <w:t xml:space="preserve">cells; native-head scArches retains 61% at 0.983 accuracy and flags 71%. These are different coverage</w:t>
      </w:r>
      <w:r>
        <w:t xml:space="preserve"> </w:t>
      </w:r>
      <w:r>
        <w:t xml:space="preserve">points and do not establish equivalent abstention quality. Scores also have different</w:t>
      </w:r>
      <w:r>
        <w:t xml:space="preserve"> </w:t>
      </w:r>
      <w:r>
        <w:t xml:space="preserve">scales and meanings across methods. Thresholds should be assessed on accuracy-coverage</w:t>
      </w:r>
      <w:r>
        <w:t xml:space="preserve"> </w:t>
      </w:r>
      <w:r>
        <w:t xml:space="preserve">curves and known-type false rejection, rather than by a shared numerical cutoff.</w:t>
      </w:r>
      <w:r>
        <w:t xml:space="preserve"> </w:t>
      </w:r>
      <w:r>
        <w:t xml:space="preserve">Low confidence can reflect technical variation or low cell quality as well as novelty.</w:t>
      </w:r>
    </w:p>
    <w:bookmarkEnd w:id="226"/>
    <w:bookmarkStart w:id="227" w:name="X5853f9ede6e6cd43f2ff2e41ae276ac5758846e"/>
    <w:p>
      <w:pPr>
        <w:pStyle w:val="Heading2"/>
      </w:pPr>
      <w:r>
        <w:t xml:space="preserve">scArches and frozen-classifier comparison</w:t>
      </w:r>
    </w:p>
    <w:p>
      <w:pPr>
        <w:pStyle w:val="FirstParagraph"/>
      </w:pPr>
      <w:r>
        <w:t xml:space="preserve">scArches had higher accuracy and macro-F1 than the two baselines on PBMC, within-dataset</w:t>
      </w:r>
      <w:r>
        <w:t xml:space="preserve"> </w:t>
      </w:r>
      <w:r>
        <w:t xml:space="preserve">lung and both brain tasks. The linear baseline had higher scores on both liver splits and</w:t>
      </w:r>
      <w:r>
        <w:t xml:space="preserve"> </w:t>
      </w:r>
      <w:r>
        <w:t xml:space="preserve">blood/gut. At 151 brain clusters, scArches reached 0.860 accuracy, compared with 0.816 for</w:t>
      </w:r>
      <w:r>
        <w:t xml:space="preserve"> </w:t>
      </w:r>
      <w:r>
        <w:t xml:space="preserve">the linear baseline and 0.741 for ACTINN-JAX. Complete-job times were 563, 6.3 and 20.4 s,</w:t>
      </w:r>
      <w:r>
        <w:t xml:space="preserve"> </w:t>
      </w:r>
      <w:r>
        <w:t xml:space="preserve">respectively. scArches took 68 to 90 times as long as the linear baseline over the seven</w:t>
      </w:r>
      <w:r>
        <w:t xml:space="preserve"> </w:t>
      </w:r>
      <w:r>
        <w:t xml:space="preserve">shared-vocabulary splits, while using less peak memory: 0.85–2.71 GB versus 1.34–7.20 GB.</w:t>
      </w:r>
      <w:r>
        <w:t xml:space="preserve"> </w:t>
      </w:r>
      <w:r>
        <w:t xml:space="preserve">Thus the preferred method depends on label resolution and the available time and memory.</w:t>
      </w:r>
    </w:p>
    <w:p>
      <w:pPr>
        <w:pStyle w:val="BodyText"/>
      </w:pPr>
      <w:r>
        <w:t xml:space="preserve">Lung cross-dataset transfer is scored through Cell Ontology mappings because the atlases</w:t>
      </w:r>
      <w:r>
        <w:t xml:space="preserve"> </w:t>
      </w:r>
      <w:r>
        <w:t xml:space="preserve">use different label names and depths. Concordance is 0.761 for scArches, 0.743 for the linear</w:t>
      </w:r>
      <w:r>
        <w:t xml:space="preserve"> </w:t>
      </w:r>
      <w:r>
        <w:t xml:space="preserve">baseline and 0.752 for ACTINN-JAX. This lineage measure is reported separately from exact</w:t>
      </w:r>
      <w:r>
        <w:t xml:space="preserve"> </w:t>
      </w:r>
      <w:r>
        <w:t xml:space="preserve">accuracy and macro-F1 on shared-vocabulary tasks.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/ CL concordance†: scArches / linear / ACTINN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macro-F1: scArches / linear / ACTINN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(s): scArches / linear / ACTINN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memory (MB): scArches / linear / ACTINN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PBMC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 / 0.913 / 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 / 0.829 / 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 / 0.9 / 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854 / 1340 / 1078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 / 0.898 / 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 / 0.904 / 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270.4 / 3.7 / 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1575 / 5045 / 2150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 / 0.817 / 0.794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 / 0.815 / 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156.9 / 1.9 / 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1391 / 3075 / 1757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Blood/gut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 / 0.908 / 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 / 0.908 / 0.865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264.5 / 3.8 / 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1803 / 5448 / 2692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 across studies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 / 0.692 / 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 / 0.587 / 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220.1 / 2.8 / 11.7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1478 / 3290 / 2431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 subclasses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/ 0.986 / 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/ 0.986 / 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 / 2.6 / 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1685 / 3307 / 2138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 clusters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 / 0.816 / 0.741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 / 0.816 / 0.737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562.7 / 6.3 / 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2714 / 7196 / 3857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 across datasets†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 / 0.743 / 0.752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875.1 / 7.7 / 24.9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 / 7895 / 3818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Means of three repeats, ordered scArches / linear-anova-pca / ACTINN-JAX. Time includes fit plus predict; memory is peak process MB.</w:t>
      </w:r>
    </w:p>
    <w:p>
      <w:pPr>
        <w:pStyle w:val="BodyText"/>
      </w:pPr>
      <w:r>
        <w:t xml:space="preserve">† Lung across datasets uses Cell Ontology concordance (same term or ancestor–descendant relationship), not exact label accuracy. Macro-F1 is not reported for that row.</w:t>
      </w:r>
    </w:p>
    <w:bookmarkEnd w:id="227"/>
    <w:bookmarkEnd w:id="228"/>
    <w:bookmarkStart w:id="237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matched-query comparison shows a task-dependent trade-off between accuracy and computational cost.</w:t>
      </w:r>
      <w:r>
        <w:t xml:space="preserve"> </w:t>
      </w:r>
      <w:r>
        <w:t xml:space="preserve">scArches has higher accuracy at fine brain resolution, where its accuracy is 0.860 against</w:t>
      </w:r>
      <w:r>
        <w:t xml:space="preserve"> </w:t>
      </w:r>
      <w:r>
        <w:t xml:space="preserve">0.816 for the linear baseline and 0.741 for ACTINN-JAX. The linear baseline instead has</w:t>
      </w:r>
      <w:r>
        <w:t xml:space="preserve"> </w:t>
      </w:r>
      <w:r>
        <w:t xml:space="preserve">higher accuracy and macro-F1 on liver and blood/gut. It uses less time but more peak memory.</w:t>
      </w:r>
      <w:r>
        <w:t xml:space="preserve"> </w:t>
      </w:r>
      <w:r>
        <w:t xml:space="preserve">A narrow aggregate accuracy range does not establish that methods are interchangeable</w:t>
      </w:r>
      <w:r>
        <w:t xml:space="preserve"> </w:t>
      </w:r>
      <w:r>
        <w:t xml:space="preserve">at every label resolution.</w:t>
      </w:r>
    </w:p>
    <w:bookmarkStart w:id="229" w:name="agreement-with-archmap"/>
    <w:p>
      <w:pPr>
        <w:pStyle w:val="Heading2"/>
      </w:pPr>
      <w:r>
        <w:t xml:space="preserve">Agreement with ArchMap</w:t>
      </w:r>
    </w:p>
    <w:p>
      <w:pPr>
        <w:pStyle w:val="FirstParagraph"/>
      </w:pPr>
      <w:r>
        <w:t xml:space="preserve">We agree with ArchMap</w:t>
      </w:r>
      <w:r>
        <w:t xml:space="preserve"> </w:t>
      </w:r>
      <w:hyperlink r:id="rId206">
        <w:r>
          <w:rPr>
            <w:rStyle w:val="Hyperlink"/>
          </w:rPr>
          <w:t xml:space="preserve">[Lotfollahi et al. 2026]</w:t>
        </w:r>
      </w:hyperlink>
      <w:r>
        <w:t xml:space="preserve"> </w:t>
      </w:r>
      <w:r>
        <w:t xml:space="preserve">that reference quality, reusable atlas models</w:t>
      </w:r>
      <w:r>
        <w:t xml:space="preserve"> </w:t>
      </w:r>
      <w:r>
        <w:t xml:space="preserve">and inspection of uncertain cells matter. The focused liver study supports the value of a</w:t>
      </w:r>
      <w:r>
        <w:t xml:space="preserve"> </w:t>
      </w:r>
      <w:r>
        <w:t xml:space="preserve">relevant reference: ontology concordance rises from 0.580 to 0.858 on a study excluded from</w:t>
      </w:r>
      <w:r>
        <w:t xml:space="preserve"> </w:t>
      </w:r>
      <w:r>
        <w:t xml:space="preserve">focused training. This credits lineage-related calls and should not be read as exact fine-type</w:t>
      </w:r>
      <w:r>
        <w:t xml:space="preserve"> </w:t>
      </w:r>
      <w:r>
        <w:t xml:space="preserve">accuracy. ArchMap already supports custom atlases, local execution and interactive inspection;</w:t>
      </w:r>
      <w:r>
        <w:t xml:space="preserve"> </w:t>
      </w:r>
      <w:r>
        <w:t xml:space="preserve">we claim none of those capabilities as unique to ACTINN-JAX. Our contribution is an</w:t>
      </w:r>
      <w:r>
        <w:t xml:space="preserve"> </w:t>
      </w:r>
      <w:r>
        <w:t xml:space="preserve">implementation and measured annotation workflows on commodity hardware.</w:t>
      </w:r>
    </w:p>
    <w:p>
      <w:pPr>
        <w:pStyle w:val="BodyText"/>
      </w:pPr>
      <w:r>
        <w:t xml:space="preserve">ArchMap also warns that residual batch effects and poor-quality cells can produce high</w:t>
      </w:r>
      <w:r>
        <w:t xml:space="preserve"> </w:t>
      </w:r>
      <w:r>
        <w:t xml:space="preserve">uncertainty. Our held-out-type experiments support treating low confidence as a screening</w:t>
      </w:r>
      <w:r>
        <w:t xml:space="preserve"> </w:t>
      </w:r>
      <w:r>
        <w:t xml:space="preserve">signal followed by quality checks and biological inspection. Distillation and model agreement</w:t>
      </w:r>
      <w:r>
        <w:t xml:space="preserve"> </w:t>
      </w:r>
      <w:r>
        <w:t xml:space="preserve">provide additional annotation views, but a teacher and its student are dependent sources.</w:t>
      </w:r>
      <w:r>
        <w:t xml:space="preserve"> </w:t>
      </w:r>
      <w:r>
        <w:t xml:space="preserve">The tested consensus does not improve on the best annotator. Agreement is useful for</w:t>
      </w:r>
      <w:r>
        <w:t xml:space="preserve"> </w:t>
      </w:r>
      <w:r>
        <w:t xml:space="preserve">finding cells to inspect, not for counting independent confirmations.</w:t>
      </w:r>
    </w:p>
    <w:bookmarkEnd w:id="229"/>
    <w:bookmarkStart w:id="230" w:name="X4d9aa24967102dc8147b0fa5fa180dd750b473a"/>
    <w:p>
      <w:pPr>
        <w:pStyle w:val="Heading2"/>
      </w:pPr>
      <w:r>
        <w:t xml:space="preserve">Where our evidence qualifies the interpretation</w:t>
      </w:r>
    </w:p>
    <w:p>
      <w:pPr>
        <w:pStyle w:val="FirstParagraph"/>
      </w:pPr>
      <w:r>
        <w:t xml:space="preserve">ArchMap’s Figure 1 caption describes choosing a classifier using the percentage of query</w:t>
      </w:r>
      <w:r>
        <w:t xml:space="preserve"> </w:t>
      </w:r>
      <w:r>
        <w:t xml:space="preserve">cells labeled unknown. That percentage records how often a system abstains; by itself it</w:t>
      </w:r>
      <w:r>
        <w:t xml:space="preserve"> </w:t>
      </w:r>
      <w:r>
        <w:t xml:space="preserve">does not establish which labels are more accurate. In our screening experiment, methods have</w:t>
      </w:r>
      <w:r>
        <w:t xml:space="preserve"> </w:t>
      </w:r>
      <w:r>
        <w:t xml:space="preserve">different score scales and accuracy–coverage curves. Equal numerical thresholds do not retain</w:t>
      </w:r>
      <w:r>
        <w:t xml:space="preserve"> </w:t>
      </w:r>
      <w:r>
        <w:t xml:space="preserve">the same cells or reject the same fraction of known types. We therefore require accuracy at</w:t>
      </w:r>
      <w:r>
        <w:t xml:space="preserve"> </w:t>
      </w:r>
      <w:r>
        <w:t xml:space="preserve">matched coverage and false rejection of known types before using an unknown-cell percentage</w:t>
      </w:r>
      <w:r>
        <w:t xml:space="preserve"> </w:t>
      </w:r>
      <w:r>
        <w:t xml:space="preserve">to rank classifiers. Our direct local comparison below tests how this criterion relates</w:t>
      </w:r>
      <w:r>
        <w:t xml:space="preserve"> </w:t>
      </w:r>
      <w:r>
        <w:t xml:space="preserve">to annotation agreement in one pipeline configuration.</w:t>
      </w:r>
    </w:p>
    <w:p>
      <w:pPr>
        <w:pStyle w:val="BodyText"/>
      </w:pPr>
      <w:r>
        <w:t xml:space="preserve">Our results also limit broad claims about the computation needed for annotation. A saved</w:t>
      </w:r>
      <w:r>
        <w:t xml:space="preserve"> </w:t>
      </w:r>
      <w:r>
        <w:t xml:space="preserve">ACTINN-JAX model labels 524,699 cells in 31 s on the tested laptop; the fitted linear pipeline</w:t>
      </w:r>
      <w:r>
        <w:t xml:space="preserve"> </w:t>
      </w:r>
      <w:r>
        <w:t xml:space="preserve">takes 67 s for that query. Both reuse trained components. Query adaptation can nevertheless</w:t>
      </w:r>
      <w:r>
        <w:t xml:space="preserve"> </w:t>
      </w:r>
      <w:r>
        <w:t xml:space="preserve">improve label accuracy, as the fine-brain scArches comparison shows. Its added time and lower</w:t>
      </w:r>
      <w:r>
        <w:t xml:space="preserve"> </w:t>
      </w:r>
      <w:r>
        <w:t xml:space="preserve">peak memory should be reported with that gain. A ratio charging one method for adaptation</w:t>
      </w:r>
      <w:r>
        <w:t xml:space="preserve"> </w:t>
      </w:r>
      <w:r>
        <w:t xml:space="preserve">and another only for frozen prediction answers a different question from inference speed.</w:t>
      </w:r>
    </w:p>
    <w:bookmarkEnd w:id="230"/>
    <w:bookmarkStart w:id="232" w:name="direct-local-annotation-comparison"/>
    <w:p>
      <w:pPr>
        <w:pStyle w:val="Heading2"/>
      </w:pPr>
      <w:r>
        <w:t xml:space="preserve">Direct local annotation comparison</w:t>
      </w:r>
    </w:p>
    <w:p>
      <w:pPr>
        <w:pStyle w:val="FirstParagraph"/>
      </w:pPr>
      <w:r>
        <w:t xml:space="preserve">We ran the local ArchMap HLCA annotation pipeline on 53,904 Duong lung nuclei using</w:t>
      </w:r>
      <w:r>
        <w:t xml:space="preserve"> </w:t>
      </w:r>
      <w:r>
        <w:t xml:space="preserve">its pretrained checkpoint and published KNN and XGBoost classifiers. Source manual</w:t>
      </w:r>
      <w:r>
        <w:t xml:space="preserve"> </w:t>
      </w:r>
      <w:r>
        <w:t xml:space="preserve">annotations mapped to Cell Ontology terms covered 52,401 cells (97.2%). Concordance</w:t>
      </w:r>
      <w:r>
        <w:t xml:space="preserve"> </w:t>
      </w:r>
      <w:r>
        <w:t xml:space="preserve">credits the same term or an ancestor–descendant relationship; it does not establish</w:t>
      </w:r>
      <w:r>
        <w:t xml:space="preserve"> </w:t>
      </w:r>
      <w:r>
        <w:t xml:space="preserve">fine subtype identity, including the distinction between general capillaries and aerocytes.</w:t>
      </w:r>
      <w:r>
        <w:t xml:space="preserve"> </w:t>
      </w:r>
      <w:r>
        <w:t xml:space="preserve">Across three seeds, full-coverage concordance was 0.847 for ArchMap KNN, 0.851 for</w:t>
      </w:r>
      <w:r>
        <w:t xml:space="preserve"> </w:t>
      </w:r>
      <w:r>
        <w:t xml:space="preserve">ArchMap XGBoost and 0.843 for ACTINN-JAX. At 90% retained coverage, concordance was</w:t>
      </w:r>
      <w:r>
        <w:t xml:space="preserve"> </w:t>
      </w:r>
      <w:r>
        <w:t xml:space="preserve">0.888, 0.885 and 0.896, respectively. Thus, relative performance depended on coverage.</w:t>
      </w:r>
      <w:r>
        <w:t xml:space="preserve"> </w:t>
      </w:r>
      <w:r>
        <w:t xml:space="preserve">Confidence ranking used no truth labels; each method retained its own subset of cells.</w:t>
      </w:r>
    </w:p>
    <w:p>
      <w:pPr>
        <w:pStyle w:val="BodyText"/>
      </w:pPr>
      <w:r>
        <w:t xml:space="preserve">Baselines used the same 584,944 reference cells and ann_level_5 target, with 1,992</w:t>
      </w:r>
      <w:r>
        <w:t xml:space="preserve"> </w:t>
      </w:r>
      <w:r>
        <w:t xml:space="preserve">measured genes shared with the 2,000-gene pretrained model. The linear baseline reached</w:t>
      </w:r>
      <w:r>
        <w:t xml:space="preserve"> </w:t>
      </w:r>
      <w:r>
        <w:t xml:space="preserve">0.768 concordance at full coverage after convergence. This gene budget differs from</w:t>
      </w:r>
      <w:r>
        <w:t xml:space="preserve"> </w:t>
      </w:r>
      <w:r>
        <w:t xml:space="preserve">our main linear benchmark. Duong has no supplied reference cell-ID or study overlap,</w:t>
      </w:r>
      <w:r>
        <w:t xml:space="preserve"> </w:t>
      </w:r>
      <w:r>
        <w:t xml:space="preserve">but was used for HLCA uncertainty-threshold calibration</w:t>
      </w:r>
      <w:r>
        <w:t xml:space="preserve"> </w:t>
      </w:r>
      <w:hyperlink r:id="rId231">
        <w:r>
          <w:rPr>
            <w:rStyle w:val="Hyperlink"/>
          </w:rPr>
          <w:t xml:space="preserve">[Sikkema 2023]</w:t>
        </w:r>
      </w:hyperlink>
      <w:r>
        <w:t xml:space="preserve">; it is not an</w:t>
      </w:r>
      <w:r>
        <w:t xml:space="preserve"> </w:t>
      </w:r>
      <w:r>
        <w:t xml:space="preserve">untouched external test. Resolved local software versions differ from the published</w:t>
      </w:r>
      <w:r>
        <w:t xml:space="preserve"> </w:t>
      </w:r>
      <w:r>
        <w:t xml:space="preserve">environment. These results evaluate annotation agreement, not integrated mapping quality.</w:t>
      </w:r>
    </w:p>
    <w:p>
      <w:pPr>
        <w:pStyle w:val="BodyText"/>
      </w:pPr>
      <w:r>
        <w:t xml:space="preserve">In this local pipeline, the KNN and XGBoost classifiers share weighted-neighbor</w:t>
      </w:r>
      <w:r>
        <w:t xml:space="preserve"> </w:t>
      </w:r>
      <w:r>
        <w:t xml:space="preserve">uncertainty and therefore have identical unknown fractions despite different predicted</w:t>
      </w:r>
      <w:r>
        <w:t xml:space="preserve"> </w:t>
      </w:r>
      <w:r>
        <w:t xml:space="preserve">labels. Unknown fraction alone cannot distinguish their annotation accuracy.</w:t>
      </w:r>
    </w:p>
    <w:bookmarkEnd w:id="232"/>
    <w:bookmarkStart w:id="236" w:name="comparisons-that-remain-open"/>
    <w:p>
      <w:pPr>
        <w:pStyle w:val="Heading2"/>
      </w:pPr>
      <w:r>
        <w:t xml:space="preserve">Comparisons that remain open</w:t>
      </w:r>
    </w:p>
    <w:p>
      <w:pPr>
        <w:pStyle w:val="FirstParagraph"/>
      </w:pPr>
      <w:r>
        <w:drawing>
          <wp:inline>
            <wp:extent cx="5334000" cy="2885056"/>
            <wp:effectExtent b="0" l="0" r="0" t="0"/>
            <wp:docPr descr="Outputs of annotation and integrated mapping" title="" id="234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mapping_outputs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Outputs determine the comparison. A saved classifier returns labels and</w:t>
      </w:r>
      <w:r>
        <w:t xml:space="preserve"> </w:t>
      </w:r>
      <w:r>
        <w:t xml:space="preserve">confidence. An ArchMap-style mapping workflow also adapts the query into a reference</w:t>
      </w:r>
      <w:r>
        <w:t xml:space="preserve"> </w:t>
      </w:r>
      <w:r>
        <w:t xml:space="preserve">embedding. Both can reuse pretrained references. Label accuracy, coverage, time and memory</w:t>
      </w:r>
      <w:r>
        <w:t xml:space="preserve"> </w:t>
      </w:r>
      <w:r>
        <w:t xml:space="preserve">are shared evaluation targets; integrated mapping additionally requires batch-mixing and</w:t>
      </w:r>
      <w:r>
        <w:t xml:space="preserve"> </w:t>
      </w:r>
      <w:r>
        <w:t xml:space="preserve">biological-conservation measurements. The diagram describes outputs, not measured platform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We did not evaluate ArchMap’s hosted service, accessibility, collaboration features or</w:t>
      </w:r>
      <w:r>
        <w:t xml:space="preserve"> </w:t>
      </w:r>
      <w:r>
        <w:t xml:space="preserve">integrated embedding quality. The local annotation comparison does not establish a</w:t>
      </w:r>
      <w:r>
        <w:t xml:space="preserve"> </w:t>
      </w:r>
      <w:r>
        <w:t xml:space="preserve">platform-wide ranking or contradict its integration results. A test of integrated mapping</w:t>
      </w:r>
      <w:r>
        <w:t xml:space="preserve"> </w:t>
      </w:r>
      <w:r>
        <w:t xml:space="preserve">would additionally require batch-mixing and biological-conservation measurements.</w:t>
      </w:r>
    </w:p>
    <w:p>
      <w:pPr>
        <w:pStyle w:val="BodyText"/>
      </w:pPr>
      <w:r>
        <w:t xml:space="preserve">The study is limited to fixed partitions, unequal tuning effort and one hardware family for the in-house comparison. The panels use separately sampled cohorts; cell-level intervals do not account for donor dependence. Generalization requires independent studies.</w:t>
      </w:r>
    </w:p>
    <w:bookmarkEnd w:id="236"/>
    <w:bookmarkEnd w:id="237"/>
    <w:bookmarkStart w:id="259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10x Genomics. 3k PBMCs from a healthy donor, Cell Ranger 1.1.0 (2016). Distributed with scanpy as</w:t>
      </w:r>
      <w:r>
        <w:t xml:space="preserve"> </w:t>
      </w:r>
      <w:r>
        <w:rPr>
          <w:rStyle w:val="VerbatimChar"/>
        </w:rPr>
        <w:t xml:space="preserve">pbmc3k</w:t>
      </w:r>
      <w:r>
        <w:t xml:space="preserve">.</w:t>
      </w:r>
      <w:r>
        <w:t xml:space="preserve"> </w:t>
      </w:r>
      <w:hyperlink r:id="rId238">
        <w:r>
          <w:rPr>
            <w:rStyle w:val="Hyperlink"/>
          </w:rPr>
          <w:t xml:space="preserve">10xgenomics.com/datasets/3-k-pbm-cs-from-a-healthy-donor-1-standard-1-1-0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Abdelaal T, et al. A comparison of automatic cell identification methods for single-cell RNA sequencing data.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 </w:t>
      </w:r>
      <w:r>
        <w:t xml:space="preserve">20:194 (2019).</w:t>
      </w:r>
      <w:r>
        <w:t xml:space="preserve"> </w:t>
      </w:r>
      <w:hyperlink r:id="rId204">
        <w:r>
          <w:rPr>
            <w:rStyle w:val="Hyperlink"/>
          </w:rPr>
          <w:t xml:space="preserve">doi:10.1186/s13059-019-1795-z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Alegbe T, Harris BT, Fachal L, et al. Cell-type-resolved genetic variation shapes inflammatory bowel disease risk (IBDverse).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(2026).</w:t>
      </w:r>
      <w:r>
        <w:t xml:space="preserve"> </w:t>
      </w:r>
      <w:hyperlink r:id="rId239">
        <w:r>
          <w:rPr>
            <w:rStyle w:val="Hyperlink"/>
          </w:rPr>
          <w:t xml:space="preserve">doi:10.1038/s41586-026-10627-z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Aran D, et al. Reference-based analysis of lung single-cell sequencing reveals a transitional profibrotic macrophage (SingleR).</w:t>
      </w:r>
      <w:r>
        <w:t xml:space="preserve"> </w:t>
      </w:r>
      <w:r>
        <w:rPr>
          <w:i/>
          <w:iCs/>
        </w:rPr>
        <w:t xml:space="preserve">Nature Immunology</w:t>
      </w:r>
      <w:r>
        <w:t xml:space="preserve"> </w:t>
      </w:r>
      <w:r>
        <w:t xml:space="preserve">20:163-172 (2019).</w:t>
      </w:r>
      <w:r>
        <w:t xml:space="preserve"> </w:t>
      </w:r>
      <w:hyperlink r:id="rId240">
        <w:r>
          <w:rPr>
            <w:rStyle w:val="Hyperlink"/>
          </w:rPr>
          <w:t xml:space="preserve">doi:10.1038/s41590-018-0276-y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Bradbury J, et al. JAX: composable transformations of Python+NumPy programs (2018).</w:t>
      </w:r>
      <w:r>
        <w:t xml:space="preserve"> </w:t>
      </w:r>
      <w:hyperlink r:id="rId241">
        <w:r>
          <w:rPr>
            <w:rStyle w:val="Hyperlink"/>
          </w:rPr>
          <w:t xml:space="preserve">github.com/jax-ml/jax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CZI Cell Science Program. CZ CELLxGENE Discover Census, LTS release 2025-11-08.</w:t>
      </w:r>
      <w:r>
        <w:t xml:space="preserve"> </w:t>
      </w:r>
      <w:hyperlink r:id="rId242">
        <w:r>
          <w:rPr>
            <w:rStyle w:val="Hyperlink"/>
          </w:rPr>
          <w:t xml:space="preserve">chanzuckerberg.github.io/cellxgene-census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Chen T, Guestrin C. XGBoost: a scalable tree boosting system.</w:t>
      </w:r>
      <w:r>
        <w:t xml:space="preserve"> </w:t>
      </w:r>
      <w:r>
        <w:rPr>
          <w:i/>
          <w:iCs/>
        </w:rPr>
        <w:t xml:space="preserve">KDD</w:t>
      </w:r>
      <w:r>
        <w:t xml:space="preserve"> </w:t>
      </w:r>
      <w:r>
        <w:t xml:space="preserve">785-794 (2016).</w:t>
      </w:r>
      <w:r>
        <w:t xml:space="preserve"> </w:t>
      </w:r>
      <w:hyperlink r:id="rId243">
        <w:r>
          <w:rPr>
            <w:rStyle w:val="Hyperlink"/>
          </w:rPr>
          <w:t xml:space="preserve">doi:10.1145/2939672.2939785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Domínguez Conde C, et al. Cross-tissue immune cell analysis reveals tissue-specific features in humans (CellTypist).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376:eabl5197 (2022).</w:t>
      </w:r>
      <w:r>
        <w:t xml:space="preserve"> </w:t>
      </w:r>
      <w:hyperlink r:id="rId244">
        <w:r>
          <w:rPr>
            <w:rStyle w:val="Hyperlink"/>
          </w:rPr>
          <w:t xml:space="preserve">doi:10.1126/science.abl5197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Edgar RD, Portman JR, Hu H, et al. HLiCA: an integrated cell atlas of the healthy human liver.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(2026).</w:t>
      </w:r>
      <w:r>
        <w:t xml:space="preserve"> </w:t>
      </w:r>
      <w:hyperlink r:id="rId245">
        <w:r>
          <w:rPr>
            <w:rStyle w:val="Hyperlink"/>
          </w:rPr>
          <w:t xml:space="preserve">doi:10.64898/2026.06.30.735539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Fu Q, Dong C, Liu Y, et al. A comparison of scRNA-seq annotation methods based on experimentally labeled immune cell subtype dataset.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 </w:t>
      </w:r>
      <w:r>
        <w:t xml:space="preserve">25(5):bbae392 (2024).</w:t>
      </w:r>
      <w:r>
        <w:t xml:space="preserve"> </w:t>
      </w:r>
      <w:hyperlink r:id="rId205">
        <w:r>
          <w:rPr>
            <w:rStyle w:val="Hyperlink"/>
          </w:rPr>
          <w:t xml:space="preserve">doi:10.1093/bib/bbae392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Guo K, Ding J. ProtoCloud: a prototypical self-explaining model for single-cell analysis.</w:t>
      </w:r>
      <w:r>
        <w:t xml:space="preserve"> </w:t>
      </w:r>
      <w:r>
        <w:rPr>
          <w:i/>
          <w:iCs/>
        </w:rPr>
        <w:t xml:space="preserve">Cell Genomics</w:t>
      </w:r>
      <w:r>
        <w:t xml:space="preserve"> </w:t>
      </w:r>
      <w:r>
        <w:t xml:space="preserve">6(6):101217 (2026).</w:t>
      </w:r>
      <w:r>
        <w:t xml:space="preserve"> </w:t>
      </w:r>
      <w:hyperlink r:id="rId246">
        <w:r>
          <w:rPr>
            <w:rStyle w:val="Hyperlink"/>
          </w:rPr>
          <w:t xml:space="preserve">doi:10.1016/j.xgen.2026.101217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Jorstad NL, Song JHT, Exposito-Alonso D, et al. Comparative transcriptomics reveals human-specific cortical features.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382(6667):eade9516 (2023).</w:t>
      </w:r>
      <w:r>
        <w:t xml:space="preserve"> </w:t>
      </w:r>
      <w:hyperlink r:id="rId247">
        <w:r>
          <w:rPr>
            <w:rStyle w:val="Hyperlink"/>
          </w:rPr>
          <w:t xml:space="preserve">doi:10.1126/science.ade9516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Kalfon J, Samaran J, Peyré G, Cantini L. scPRINT: pre-training on 50 million cells allows robust gene network predictions.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16:3607 (2025).</w:t>
      </w:r>
      <w:r>
        <w:t xml:space="preserve"> </w:t>
      </w:r>
      <w:hyperlink r:id="rId248">
        <w:r>
          <w:rPr>
            <w:rStyle w:val="Hyperlink"/>
          </w:rPr>
          <w:t xml:space="preserve">doi:10.1038/s41467-025-58699-1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Kedzierska KZ, Crawford L, Amini AP, Lu AX. Zero-shot evaluation reveals limitations of single-cell foundation models.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 </w:t>
      </w:r>
      <w:r>
        <w:t xml:space="preserve">26:101 (2025).</w:t>
      </w:r>
      <w:r>
        <w:t xml:space="preserve"> </w:t>
      </w:r>
      <w:hyperlink r:id="rId249">
        <w:r>
          <w:rPr>
            <w:rStyle w:val="Hyperlink"/>
          </w:rPr>
          <w:t xml:space="preserve">doi:10.1186/s13059-025-03574-x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Kiselev VY, Yiu A, Hemberg M. scmap: projection of single-cell RNA-seq data across data sets.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15:359-362 (2018).</w:t>
      </w:r>
      <w:r>
        <w:t xml:space="preserve"> </w:t>
      </w:r>
      <w:hyperlink r:id="rId250">
        <w:r>
          <w:rPr>
            <w:rStyle w:val="Hyperlink"/>
          </w:rPr>
          <w:t xml:space="preserve">doi:10.1038/nmeth.4644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Lin Z, et al. Evolutionary-scale prediction of atomic-level protein structure with a language model (ESM-2).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379:1123-1130 (2023).</w:t>
      </w:r>
      <w:r>
        <w:t xml:space="preserve"> </w:t>
      </w:r>
      <w:hyperlink r:id="rId251">
        <w:r>
          <w:rPr>
            <w:rStyle w:val="Hyperlink"/>
          </w:rPr>
          <w:t xml:space="preserve">doi:10.1126/science.ade2574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Lotfollahi M, et al. Mapping single-cell data to reference atlases by transfer learning (scArches).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 </w:t>
      </w:r>
      <w:r>
        <w:t xml:space="preserve">40:121-130 (2022).</w:t>
      </w:r>
      <w:r>
        <w:t xml:space="preserve"> </w:t>
      </w:r>
      <w:hyperlink r:id="rId252">
        <w:r>
          <w:rPr>
            <w:rStyle w:val="Hyperlink"/>
          </w:rPr>
          <w:t xml:space="preserve">doi:10.1038/s41587-021-01001-7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Lotfollahi M, Bright C, Skorobogat R, et al. ArchMap is a web-based platform for reference-based analysis of single-cell datasets.</w:t>
      </w:r>
      <w:r>
        <w:t xml:space="preserve"> </w:t>
      </w:r>
      <w:r>
        <w:rPr>
          <w:i/>
          <w:iCs/>
        </w:rPr>
        <w:t xml:space="preserve">Nature Genetics</w:t>
      </w:r>
      <w:r>
        <w:t xml:space="preserve"> </w:t>
      </w:r>
      <w:r>
        <w:t xml:space="preserve">(2026).</w:t>
      </w:r>
      <w:r>
        <w:t xml:space="preserve"> </w:t>
      </w:r>
      <w:hyperlink r:id="rId206">
        <w:r>
          <w:rPr>
            <w:rStyle w:val="Hyperlink"/>
          </w:rPr>
          <w:t xml:space="preserve">doi:10.1038/s41588-026-02756-y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 F, Pellegrini M. ACTINN: automated identification of cell types in single cell RNA sequencing.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36(2):533-538 (2020).</w:t>
      </w:r>
      <w:r>
        <w:t xml:space="preserve"> </w:t>
      </w:r>
      <w:hyperlink r:id="rId208">
        <w:r>
          <w:rPr>
            <w:rStyle w:val="Hyperlink"/>
          </w:rPr>
          <w:t xml:space="preserve">doi:10.1093/bioinformatics/btz592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Miller JA, Gouwens NW, Tasic B, et al. Common cell type nomenclature for the mammalian brain.</w:t>
      </w:r>
      <w:r>
        <w:t xml:space="preserve"> </w:t>
      </w:r>
      <w:r>
        <w:rPr>
          <w:i/>
          <w:iCs/>
        </w:rPr>
        <w:t xml:space="preserve">eLife</w:t>
      </w:r>
      <w:r>
        <w:t xml:space="preserve"> </w:t>
      </w:r>
      <w:r>
        <w:t xml:space="preserve">9:e59928 (2020).</w:t>
      </w:r>
      <w:r>
        <w:t xml:space="preserve"> </w:t>
      </w:r>
      <w:hyperlink r:id="rId221">
        <w:r>
          <w:rPr>
            <w:rStyle w:val="Hyperlink"/>
          </w:rPr>
          <w:t xml:space="preserve">doi:10.7554/eLife.59928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Open Problems for Single-Cell Analysis Consortium. Open Problems: a living benchmark for single-cell analysis (2024).</w:t>
      </w:r>
      <w:r>
        <w:t xml:space="preserve"> </w:t>
      </w:r>
      <w:hyperlink r:id="rId253">
        <w:r>
          <w:rPr>
            <w:rStyle w:val="Hyperlink"/>
          </w:rPr>
          <w:t xml:space="preserve">openproblems.bio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Pedregosa F, et al. Scikit-learn: machine learning in Python.</w:t>
      </w:r>
      <w:r>
        <w:t xml:space="preserve"> </w:t>
      </w:r>
      <w:r>
        <w:rPr>
          <w:i/>
          <w:iCs/>
        </w:rPr>
        <w:t xml:space="preserve">JMLR</w:t>
      </w:r>
      <w:r>
        <w:t xml:space="preserve"> </w:t>
      </w:r>
      <w:r>
        <w:t xml:space="preserve">12:2825-2830 (2011).</w:t>
      </w:r>
      <w:r>
        <w:t xml:space="preserve"> </w:t>
      </w:r>
      <w:hyperlink r:id="rId254">
        <w:r>
          <w:rPr>
            <w:rStyle w:val="Hyperlink"/>
          </w:rPr>
          <w:t xml:space="preserve">jmlr.org/papers/v12/pedregosa11a.html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Rosen Y, et al. Universal cell embedding provides a foundation model for cell biology (UCE).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(2026).</w:t>
      </w:r>
      <w:r>
        <w:t xml:space="preserve"> </w:t>
      </w:r>
      <w:hyperlink r:id="rId255">
        <w:r>
          <w:rPr>
            <w:rStyle w:val="Hyperlink"/>
          </w:rPr>
          <w:t xml:space="preserve">doi:10.1038/s41586-026-10689-z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Sarkar S, Li Z, Molla G, et al. Organism-scale annotation with Pan-human Azimuth.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(2026).</w:t>
      </w:r>
      <w:r>
        <w:t xml:space="preserve"> </w:t>
      </w:r>
      <w:hyperlink r:id="rId207">
        <w:r>
          <w:rPr>
            <w:rStyle w:val="Hyperlink"/>
          </w:rPr>
          <w:t xml:space="preserve">doi:10.64898/2026.07.16.738997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Sikkema L, et al. An integrated cell atlas of the lung in health and disease (HLCA).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29:1563-1577 (2023).</w:t>
      </w:r>
      <w:r>
        <w:t xml:space="preserve"> </w:t>
      </w:r>
      <w:hyperlink r:id="rId231">
        <w:r>
          <w:rPr>
            <w:rStyle w:val="Hyperlink"/>
          </w:rPr>
          <w:t xml:space="preserve">doi:10.1038/s41591-023-02327-2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Souza H, Mehta P. Parameter-free representations outperform single-cell foundation models on downstream benchmarks.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(2026).</w:t>
      </w:r>
      <w:r>
        <w:t xml:space="preserve"> </w:t>
      </w:r>
      <w:hyperlink r:id="rId210">
        <w:r>
          <w:rPr>
            <w:rStyle w:val="Hyperlink"/>
          </w:rPr>
          <w:t xml:space="preserve">doi:10.64898/2026.02.11.705358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Travaglini KJ, Nabhan AN, Penland L, et al. A molecular cell atlas of the human lung from single-cell RNA sequencing.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587(7835):619-625 (2020).</w:t>
      </w:r>
      <w:r>
        <w:t xml:space="preserve"> </w:t>
      </w:r>
      <w:hyperlink r:id="rId256">
        <w:r>
          <w:rPr>
            <w:rStyle w:val="Hyperlink"/>
          </w:rPr>
          <w:t xml:space="preserve">doi:10.1038/s41586-020-2922-4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Xu C, et al. Probabilistic harmonization and annotation of single-cell transcriptomics data with deep generative models (scANVI).</w:t>
      </w:r>
      <w:r>
        <w:t xml:space="preserve"> </w:t>
      </w:r>
      <w:r>
        <w:rPr>
          <w:i/>
          <w:iCs/>
        </w:rPr>
        <w:t xml:space="preserve">Molecular Systems Biology</w:t>
      </w:r>
      <w:r>
        <w:t xml:space="preserve"> </w:t>
      </w:r>
      <w:r>
        <w:t xml:space="preserve">17:e9620 (2021).</w:t>
      </w:r>
      <w:r>
        <w:t xml:space="preserve"> </w:t>
      </w:r>
      <w:hyperlink r:id="rId257">
        <w:r>
          <w:rPr>
            <w:rStyle w:val="Hyperlink"/>
          </w:rPr>
          <w:t xml:space="preserve">doi:10.15252/msb.20209620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Yampolskaya M, Herriges MJ, Ikonomou L, Kotton DN, Mehta P. scTOP: physics-inspired order parameters for cellular identification and visualization.</w:t>
      </w:r>
      <w:r>
        <w:t xml:space="preserve"> </w:t>
      </w:r>
      <w:r>
        <w:rPr>
          <w:i/>
          <w:iCs/>
        </w:rPr>
        <w:t xml:space="preserve">Development</w:t>
      </w:r>
      <w:r>
        <w:t xml:space="preserve"> </w:t>
      </w:r>
      <w:r>
        <w:t xml:space="preserve">150(21):dev201873 (2023).</w:t>
      </w:r>
      <w:r>
        <w:t xml:space="preserve"> </w:t>
      </w:r>
      <w:hyperlink r:id="rId258">
        <w:r>
          <w:rPr>
            <w:rStyle w:val="Hyperlink"/>
          </w:rPr>
          <w:t xml:space="preserve">doi:10.1242/dev.201873</w:t>
        </w:r>
      </w:hyperlink>
      <w:r>
        <w:t xml:space="preserve">.</w:t>
      </w:r>
    </w:p>
    <w:bookmarkEnd w:id="2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0000"/>
      <w:sz w:val="56"/>
      <w:szCs w:val="56"/>
      <w:u w:val="none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  <w:u w:val="none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  <w:u w:val="none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  <w:u w:val="non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  <w:u w:val="non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  <w:u w:val="non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  <w:u w:val="non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  <w:u w:val="non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  <w:u w:val="non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  <w:u w:val="non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  <w:u w:val="none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  <w:u w:val="none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  <w:u w:val="non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  <w:u w:val="none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  <w:u w:val="none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  <w:u w:val="non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  <w:u w:val="non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  <w:u w:val="non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  <w:u w:val="none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2" Target="numbering.xml" /><Relationship Type="http://schemas.openxmlformats.org/officeDocument/2006/relationships/styles" Id="rId201" Target="styles.xml" /><Relationship Type="http://schemas.openxmlformats.org/officeDocument/2006/relationships/settings" Id="rId200" Target="settings.xml" /><Relationship Type="http://schemas.openxmlformats.org/officeDocument/2006/relationships/webSettings" Id="rId199" Target="webSettings.xml" /><Relationship Type="http://schemas.openxmlformats.org/officeDocument/2006/relationships/fontTable" Id="rId198" Target="fontTable.xml" /><Relationship Type="http://schemas.openxmlformats.org/officeDocument/2006/relationships/theme" Id="rId197" Target="theme/theme1.xml" /><Relationship Type="http://schemas.openxmlformats.org/officeDocument/2006/relationships/footnotes" Id="rId196" Target="footnotes.xml" /><Relationship Type="http://schemas.openxmlformats.org/officeDocument/2006/relationships/comments" Id="rId195" Target="comments.xml" /><Relationship Id="rId27" Target="media/rId27.png" Type="http://schemas.openxmlformats.org/officeDocument/2006/relationships/image" /><Relationship Id="rId17" Target="media/rId17.png" Type="http://schemas.openxmlformats.org/officeDocument/2006/relationships/image" /><Relationship Id="rId21" Target="media/rId21.png" Type="http://schemas.openxmlformats.org/officeDocument/2006/relationships/image" /><Relationship Id="rId55" Target="media/rId55.png" Type="http://schemas.openxmlformats.org/officeDocument/2006/relationships/image" /><Relationship Id="rId45" Target="media/rId45.png" Type="http://schemas.openxmlformats.org/officeDocument/2006/relationships/image" /><Relationship Id="rId49" Target="media/rId49.png" Type="http://schemas.openxmlformats.org/officeDocument/2006/relationships/image" /><Relationship Id="rId83" Target="media/rId83.png" Type="http://schemas.openxmlformats.org/officeDocument/2006/relationships/image" /><Relationship Id="rId73" Target="media/rId73.png" Type="http://schemas.openxmlformats.org/officeDocument/2006/relationships/image" /><Relationship Id="rId77" Target="media/rId77.png" Type="http://schemas.openxmlformats.org/officeDocument/2006/relationships/image" /><Relationship Id="rId111" Target="media/rId111.png" Type="http://schemas.openxmlformats.org/officeDocument/2006/relationships/image" /><Relationship Id="rId120" Target="media/rId120.png" Type="http://schemas.openxmlformats.org/officeDocument/2006/relationships/image" /><Relationship Id="rId101" Target="media/rId101.png" Type="http://schemas.openxmlformats.org/officeDocument/2006/relationships/image" /><Relationship Id="rId105" Target="media/rId105.png" Type="http://schemas.openxmlformats.org/officeDocument/2006/relationships/image" /><Relationship Id="rId148" Target="media/rId148.png" Type="http://schemas.openxmlformats.org/officeDocument/2006/relationships/image" /><Relationship Id="rId157" Target="media/rId157.png" Type="http://schemas.openxmlformats.org/officeDocument/2006/relationships/image" /><Relationship Id="rId138" Target="media/rId138.png" Type="http://schemas.openxmlformats.org/officeDocument/2006/relationships/image" /><Relationship Id="rId142" Target="media/rId142.png" Type="http://schemas.openxmlformats.org/officeDocument/2006/relationships/image" /><Relationship Id="rId185" Target="media/rId185.png" Type="http://schemas.openxmlformats.org/officeDocument/2006/relationships/image" /><Relationship Id="rId194" Target="media/rId194.png" Type="http://schemas.openxmlformats.org/officeDocument/2006/relationships/image" /><Relationship Id="rId175" Target="media/rId175.png" Type="http://schemas.openxmlformats.org/officeDocument/2006/relationships/image" /><Relationship Id="rId179" Target="media/rId179.png" Type="http://schemas.openxmlformats.org/officeDocument/2006/relationships/image" /><Relationship Type="http://schemas.openxmlformats.org/officeDocument/2006/relationships/image" Id="rId222" Target="media/rId222.png" /><Relationship Type="http://schemas.openxmlformats.org/officeDocument/2006/relationships/image" Id="rId233" Target="media/rId233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242" Target="https://chanzuckerberg.github.io/cellxgene-census/" TargetMode="External" /><Relationship Type="http://schemas.openxmlformats.org/officeDocument/2006/relationships/hyperlink" Id="rId246" Target="https://doi.org/10.1016/j.xgen.2026.101217" TargetMode="External" /><Relationship Type="http://schemas.openxmlformats.org/officeDocument/2006/relationships/hyperlink" Id="rId250" Target="https://doi.org/10.1038/nmeth.4644" TargetMode="External" /><Relationship Type="http://schemas.openxmlformats.org/officeDocument/2006/relationships/hyperlink" Id="rId248" Target="https://doi.org/10.1038/s41467-025-58699-1" TargetMode="External" /><Relationship Type="http://schemas.openxmlformats.org/officeDocument/2006/relationships/hyperlink" Id="rId256" Target="https://doi.org/10.1038/s41586-020-2922-4" TargetMode="External" /><Relationship Type="http://schemas.openxmlformats.org/officeDocument/2006/relationships/hyperlink" Id="rId239" Target="https://doi.org/10.1038/s41586-026-10627-z" TargetMode="External" /><Relationship Type="http://schemas.openxmlformats.org/officeDocument/2006/relationships/hyperlink" Id="rId255" Target="https://doi.org/10.1038/s41586-026-10689-z" TargetMode="External" /><Relationship Type="http://schemas.openxmlformats.org/officeDocument/2006/relationships/hyperlink" Id="rId252" Target="https://doi.org/10.1038/s41587-021-01001-7" TargetMode="External" /><Relationship Type="http://schemas.openxmlformats.org/officeDocument/2006/relationships/hyperlink" Id="rId206" Target="https://doi.org/10.1038/s41588-026-02756-y" TargetMode="External" /><Relationship Type="http://schemas.openxmlformats.org/officeDocument/2006/relationships/hyperlink" Id="rId240" Target="https://doi.org/10.1038/s41590-018-0276-y" TargetMode="External" /><Relationship Type="http://schemas.openxmlformats.org/officeDocument/2006/relationships/hyperlink" Id="rId231" Target="https://doi.org/10.1038/s41591-023-02327-2" TargetMode="External" /><Relationship Type="http://schemas.openxmlformats.org/officeDocument/2006/relationships/hyperlink" Id="rId205" Target="https://doi.org/10.1093/bib/bbae392" TargetMode="External" /><Relationship Type="http://schemas.openxmlformats.org/officeDocument/2006/relationships/hyperlink" Id="rId208" Target="https://doi.org/10.1093/bioinformatics/btz592" TargetMode="External" /><Relationship Type="http://schemas.openxmlformats.org/officeDocument/2006/relationships/hyperlink" Id="rId244" Target="https://doi.org/10.1126/science.abl5197" TargetMode="External" /><Relationship Type="http://schemas.openxmlformats.org/officeDocument/2006/relationships/hyperlink" Id="rId251" Target="https://doi.org/10.1126/science.ade2574" TargetMode="External" /><Relationship Type="http://schemas.openxmlformats.org/officeDocument/2006/relationships/hyperlink" Id="rId247" Target="https://doi.org/10.1126/science.ade9516" TargetMode="External" /><Relationship Type="http://schemas.openxmlformats.org/officeDocument/2006/relationships/hyperlink" Id="rId243" Target="https://doi.org/10.1145/2939672.2939785" TargetMode="External" /><Relationship Type="http://schemas.openxmlformats.org/officeDocument/2006/relationships/hyperlink" Id="rId204" Target="https://doi.org/10.1186/s13059-019-1795-z" TargetMode="External" /><Relationship Type="http://schemas.openxmlformats.org/officeDocument/2006/relationships/hyperlink" Id="rId249" Target="https://doi.org/10.1186/s13059-025-03574-x" TargetMode="External" /><Relationship Type="http://schemas.openxmlformats.org/officeDocument/2006/relationships/hyperlink" Id="rId258" Target="https://doi.org/10.1242/dev.201873" TargetMode="External" /><Relationship Type="http://schemas.openxmlformats.org/officeDocument/2006/relationships/hyperlink" Id="rId257" Target="https://doi.org/10.15252/msb.20209620" TargetMode="External" /><Relationship Type="http://schemas.openxmlformats.org/officeDocument/2006/relationships/hyperlink" Id="rId210" Target="https://doi.org/10.64898/2026.02.11.705358" TargetMode="External" /><Relationship Type="http://schemas.openxmlformats.org/officeDocument/2006/relationships/hyperlink" Id="rId245" Target="https://doi.org/10.64898/2026.06.30.735539" TargetMode="External" /><Relationship Type="http://schemas.openxmlformats.org/officeDocument/2006/relationships/hyperlink" Id="rId207" Target="https://doi.org/10.64898/2026.07.16.738997" TargetMode="External" /><Relationship Type="http://schemas.openxmlformats.org/officeDocument/2006/relationships/hyperlink" Id="rId221" Target="https://doi.org/10.7554/eLife.59928" TargetMode="External" /><Relationship Type="http://schemas.openxmlformats.org/officeDocument/2006/relationships/hyperlink" Id="rId241" Target="https://github.com/jax-ml/jax" TargetMode="External" /><Relationship Type="http://schemas.openxmlformats.org/officeDocument/2006/relationships/hyperlink" Id="rId253" Target="https://openproblems.bio" TargetMode="External" /><Relationship Type="http://schemas.openxmlformats.org/officeDocument/2006/relationships/hyperlink" Id="rId238" Target="https://www.10xgenomics.com/datasets/3-k-pbm-cs-from-a-healthy-donor-1-standard-1-1-0" TargetMode="External" /><Relationship Type="http://schemas.openxmlformats.org/officeDocument/2006/relationships/hyperlink" Id="rId254" Target="https://www.jmlr.org/papers/v12/pedregosa11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chanzuckerberg.github.io/cellxgene-census/" TargetMode="External" /><Relationship Type="http://schemas.openxmlformats.org/officeDocument/2006/relationships/hyperlink" Id="rId246" Target="https://doi.org/10.1016/j.xgen.2026.101217" TargetMode="External" /><Relationship Type="http://schemas.openxmlformats.org/officeDocument/2006/relationships/hyperlink" Id="rId250" Target="https://doi.org/10.1038/nmeth.4644" TargetMode="External" /><Relationship Type="http://schemas.openxmlformats.org/officeDocument/2006/relationships/hyperlink" Id="rId248" Target="https://doi.org/10.1038/s41467-025-58699-1" TargetMode="External" /><Relationship Type="http://schemas.openxmlformats.org/officeDocument/2006/relationships/hyperlink" Id="rId256" Target="https://doi.org/10.1038/s41586-020-2922-4" TargetMode="External" /><Relationship Type="http://schemas.openxmlformats.org/officeDocument/2006/relationships/hyperlink" Id="rId239" Target="https://doi.org/10.1038/s41586-026-10627-z" TargetMode="External" /><Relationship Type="http://schemas.openxmlformats.org/officeDocument/2006/relationships/hyperlink" Id="rId255" Target="https://doi.org/10.1038/s41586-026-10689-z" TargetMode="External" /><Relationship Type="http://schemas.openxmlformats.org/officeDocument/2006/relationships/hyperlink" Id="rId252" Target="https://doi.org/10.1038/s41587-021-01001-7" TargetMode="External" /><Relationship Type="http://schemas.openxmlformats.org/officeDocument/2006/relationships/hyperlink" Id="rId206" Target="https://doi.org/10.1038/s41588-026-02756-y" TargetMode="External" /><Relationship Type="http://schemas.openxmlformats.org/officeDocument/2006/relationships/hyperlink" Id="rId240" Target="https://doi.org/10.1038/s41590-018-0276-y" TargetMode="External" /><Relationship Type="http://schemas.openxmlformats.org/officeDocument/2006/relationships/hyperlink" Id="rId231" Target="https://doi.org/10.1038/s41591-023-02327-2" TargetMode="External" /><Relationship Type="http://schemas.openxmlformats.org/officeDocument/2006/relationships/hyperlink" Id="rId205" Target="https://doi.org/10.1093/bib/bbae392" TargetMode="External" /><Relationship Type="http://schemas.openxmlformats.org/officeDocument/2006/relationships/hyperlink" Id="rId208" Target="https://doi.org/10.1093/bioinformatics/btz592" TargetMode="External" /><Relationship Type="http://schemas.openxmlformats.org/officeDocument/2006/relationships/hyperlink" Id="rId244" Target="https://doi.org/10.1126/science.abl5197" TargetMode="External" /><Relationship Type="http://schemas.openxmlformats.org/officeDocument/2006/relationships/hyperlink" Id="rId251" Target="https://doi.org/10.1126/science.ade2574" TargetMode="External" /><Relationship Type="http://schemas.openxmlformats.org/officeDocument/2006/relationships/hyperlink" Id="rId247" Target="https://doi.org/10.1126/science.ade9516" TargetMode="External" /><Relationship Type="http://schemas.openxmlformats.org/officeDocument/2006/relationships/hyperlink" Id="rId243" Target="https://doi.org/10.1145/2939672.2939785" TargetMode="External" /><Relationship Type="http://schemas.openxmlformats.org/officeDocument/2006/relationships/hyperlink" Id="rId204" Target="https://doi.org/10.1186/s13059-019-1795-z" TargetMode="External" /><Relationship Type="http://schemas.openxmlformats.org/officeDocument/2006/relationships/hyperlink" Id="rId249" Target="https://doi.org/10.1186/s13059-025-03574-x" TargetMode="External" /><Relationship Type="http://schemas.openxmlformats.org/officeDocument/2006/relationships/hyperlink" Id="rId258" Target="https://doi.org/10.1242/dev.201873" TargetMode="External" /><Relationship Type="http://schemas.openxmlformats.org/officeDocument/2006/relationships/hyperlink" Id="rId257" Target="https://doi.org/10.15252/msb.20209620" TargetMode="External" /><Relationship Type="http://schemas.openxmlformats.org/officeDocument/2006/relationships/hyperlink" Id="rId210" Target="https://doi.org/10.64898/2026.02.11.705358" TargetMode="External" /><Relationship Type="http://schemas.openxmlformats.org/officeDocument/2006/relationships/hyperlink" Id="rId245" Target="https://doi.org/10.64898/2026.06.30.735539" TargetMode="External" /><Relationship Type="http://schemas.openxmlformats.org/officeDocument/2006/relationships/hyperlink" Id="rId207" Target="https://doi.org/10.64898/2026.07.16.738997" TargetMode="External" /><Relationship Type="http://schemas.openxmlformats.org/officeDocument/2006/relationships/hyperlink" Id="rId221" Target="https://doi.org/10.7554/eLife.59928" TargetMode="External" /><Relationship Type="http://schemas.openxmlformats.org/officeDocument/2006/relationships/hyperlink" Id="rId241" Target="https://github.com/jax-ml/jax" TargetMode="External" /><Relationship Type="http://schemas.openxmlformats.org/officeDocument/2006/relationships/hyperlink" Id="rId253" Target="https://openproblems.bio" TargetMode="External" /><Relationship Type="http://schemas.openxmlformats.org/officeDocument/2006/relationships/hyperlink" Id="rId238" Target="https://www.10xgenomics.com/datasets/3-k-pbm-cs-from-a-healthy-donor-1-standard-1-1-0" TargetMode="External" /><Relationship Type="http://schemas.openxmlformats.org/officeDocument/2006/relationships/hyperlink" Id="rId254" Target="https://www.jmlr.org/papers/v12/pedregosa11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Accuracy and computational cost of reference-based cell-type annotation on commodity hardware</dc:title>
  <dc:creator>Ian Driver</dc:creator>
  <cp:keywords/>
  <dcterms:created xsi:type="dcterms:W3CDTF">2026-10-05T02:22:39Z</dcterms:created>
  <dcterms:modified xsi:type="dcterms:W3CDTF">2026-10-05T02:22:39Z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Reference-based cell-type annotation requires a choice of label resolution, reference and computational budget. We compared eleven reference-trained methods across eight splits of seven human datasets and evaluated two pretrained annotators where their vocabularies permitted comparison. We also used the Open Problems label-projection workflow. A matched comparison evaluated scArches with weighted-neighbor label transfer, a linear baseline and actinn-jax on identical query cells within eight splits. scArches gave the highest accuracy among these methods on PBMC, within-dataset lung and both brain tasks; the linear baseline led on liver and blood/gut. At 151 brain clusters, scArches scored 0.860 versus 0.816 for the linear baseline and 0.741 for actinn-jax, with complete-job times of 563, 6.3 and 20.4 s. scArches used less peak memory than either baseline. A saved actinn-jax reference annotated 524,699 cells in 31 s on the tested laptop. A focused liver reference improved ontology concordance from 0.580 to 0.858 on a study excluded from focused training. Distillation increased throughput with losses on withheld atlases; agreement identified higher-concordance subsets but did not improve the tested consensus over the best annotator. Our findings support ArchMap’s emphasis on reference quality and uncertainty inspection. Unknown-cell percentage alone does not establish annotation accuracy. Label prediction and integrated atlas mapping require different evaluations; we did not assess ArchMap’s integration quality or hosted performance. Code and pretrained references are publicly available.</vt:lpwstr>
  </property>
  <property fmtid="{D5CDD505-2E9C-101B-9397-08002B2CF9AE}" pid="3" name="date">
    <vt:lpwstr/>
  </property>
</Properties>
</file>