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5.png" ContentType="image/png"/>
  <Override PartName="/word/media/rId362.png" ContentType="image/png"/>
  <Override PartName="/word/media/rId388.png" ContentType="image/png"/>
  <Override PartName="/word/media/rId352.png" ContentType="image/png"/>
  <Override PartName="/word/media/rId335.png" ContentType="image/png"/>
  <Override PartName="/word/media/rId385.png" ContentType="image/png"/>
  <Override PartName="/word/media/rId369.png" ContentType="image/png"/>
  <Override PartName="/word/media/rId338.png" ContentType="image/png"/>
  <Override PartName="/word/media/rId347.png" ContentType="image/png"/>
  <Override PartName="/word/media/rId344.png" ContentType="image/png"/>
  <Override PartName="/word/media/rId341.png" ContentType="image/png"/>
  <Override PartName="/word/media/rId358.png" ContentType="image/png"/>
  <Override PartName="/word/media/rId355.png" ContentType="image/png"/>
  <Override PartName="/word/media/rId373.png" ContentType="image/png"/>
  <Override PartName="/word/media/rId376.png" ContentType="image/png"/>
  <Override PartName="/word/media/rId39.png" ContentType="image/png"/>
  <Override PartName="/word/media/rId36.png" ContentType="image/png"/>
  <Override PartName="/word/media/rId26.png" ContentType="image/png"/>
  <Override PartName="/word/media/rId9.png" ContentType="image/png"/>
  <Override PartName="/word/media/rId43.png" ContentType="image/png"/>
  <Override PartName="/word/media/rId12.png" ContentType="image/png"/>
  <Override PartName="/word/media/rId21.png" ContentType="image/png"/>
  <Override PartName="/word/media/rId18.png" ContentType="image/png"/>
  <Override PartName="/word/media/rId15.png" ContentType="image/png"/>
  <Override PartName="/word/media/rId32.png" ContentType="image/png"/>
  <Override PartName="/word/media/rId29.png" ContentType="image/png"/>
  <Override PartName="/word/media/rId47.png" ContentType="image/png"/>
  <Override PartName="/word/media/rId50.png" ContentType="image/png"/>
  <Override PartName="/word/media/rId89.png" ContentType="image/png"/>
  <Override PartName="/word/media/rId86.png" ContentType="image/png"/>
  <Override PartName="/word/media/rId76.png" ContentType="image/png"/>
  <Override PartName="/word/media/rId59.png" ContentType="image/png"/>
  <Override PartName="/word/media/rId93.png" ContentType="image/png"/>
  <Override PartName="/word/media/rId62.png" ContentType="image/png"/>
  <Override PartName="/word/media/rId71.png" ContentType="image/png"/>
  <Override PartName="/word/media/rId68.png" ContentType="image/png"/>
  <Override PartName="/word/media/rId65.png" ContentType="image/png"/>
  <Override PartName="/word/media/rId82.png" ContentType="image/png"/>
  <Override PartName="/word/media/rId79.png" ContentType="image/png"/>
  <Override PartName="/word/media/rId97.png" ContentType="image/png"/>
  <Override PartName="/word/media/rId100.png" ContentType="image/png"/>
  <Override PartName="/word/media/rId139.png" ContentType="image/png"/>
  <Override PartName="/word/media/rId136.png" ContentType="image/png"/>
  <Override PartName="/word/media/rId126.png" ContentType="image/png"/>
  <Override PartName="/word/media/rId109.png" ContentType="image/png"/>
  <Override PartName="/word/media/rId143.png" ContentType="image/png"/>
  <Override PartName="/word/media/rId112.png" ContentType="image/png"/>
  <Override PartName="/word/media/rId121.png" ContentType="image/png"/>
  <Override PartName="/word/media/rId118.png" ContentType="image/png"/>
  <Override PartName="/word/media/rId115.png" ContentType="image/png"/>
  <Override PartName="/word/media/rId132.png" ContentType="image/png"/>
  <Override PartName="/word/media/rId129.png" ContentType="image/png"/>
  <Override PartName="/word/media/rId147.png" ContentType="image/png"/>
  <Override PartName="/word/media/rId150.png" ContentType="image/png"/>
  <Override PartName="/word/media/rId189.png" ContentType="image/png"/>
  <Override PartName="/word/media/rId186.png" ContentType="image/png"/>
  <Override PartName="/word/media/rId176.png" ContentType="image/png"/>
  <Override PartName="/word/media/rId159.png" ContentType="image/png"/>
  <Override PartName="/word/media/rId208.png" ContentType="image/png"/>
  <Override PartName="/word/media/rId193.png" ContentType="image/png"/>
  <Override PartName="/word/media/rId162.png" ContentType="image/png"/>
  <Override PartName="/word/media/rId171.png" ContentType="image/png"/>
  <Override PartName="/word/media/rId168.png" ContentType="image/png"/>
  <Override PartName="/word/media/rId165.png" ContentType="image/png"/>
  <Override PartName="/word/media/rId182.png" ContentType="image/png"/>
  <Override PartName="/word/media/rId179.png" ContentType="image/png"/>
  <Override PartName="/word/media/rId197.png" ContentType="image/png"/>
  <Override PartName="/word/media/rId200.png" ContentType="image/png"/>
  <Override PartName="/word/media/rId247.png" ContentType="image/png"/>
  <Override PartName="/word/media/rId244.png" ContentType="image/png"/>
  <Override PartName="/word/media/rId234.png" ContentType="image/png"/>
  <Override PartName="/word/media/rId217.png" ContentType="image/png"/>
  <Override PartName="/word/media/rId267.png" ContentType="image/png"/>
  <Override PartName="/word/media/rId251.png" ContentType="image/png"/>
  <Override PartName="/word/media/rId220.png" ContentType="image/png"/>
  <Override PartName="/word/media/rId229.png" ContentType="image/png"/>
  <Override PartName="/word/media/rId226.png" ContentType="image/png"/>
  <Override PartName="/word/media/rId223.png" ContentType="image/png"/>
  <Override PartName="/word/media/rId240.png" ContentType="image/png"/>
  <Override PartName="/word/media/rId237.png" ContentType="image/png"/>
  <Override PartName="/word/media/rId255.png" ContentType="image/png"/>
  <Override PartName="/word/media/rId258.png" ContentType="image/png"/>
  <Override PartName="/word/media/rId306.png" ContentType="image/png"/>
  <Override PartName="/word/media/rId303.png" ContentType="image/png"/>
  <Override PartName="/word/media/rId293.png" ContentType="image/png"/>
  <Override PartName="/word/media/rId276.png" ContentType="image/png"/>
  <Override PartName="/word/media/rId326.png" ContentType="image/png"/>
  <Override PartName="/word/media/rId310.png" ContentType="image/png"/>
  <Override PartName="/word/media/rId279.png" ContentType="image/png"/>
  <Override PartName="/word/media/rId288.png" ContentType="image/png"/>
  <Override PartName="/word/media/rId285.png" ContentType="image/png"/>
  <Override PartName="/word/media/rId282.png" ContentType="image/png"/>
  <Override PartName="/word/media/rId299.png" ContentType="image/png"/>
  <Override PartName="/word/media/rId296.png" ContentType="image/png"/>
  <Override PartName="/word/media/rId314.png" ContentType="image/png"/>
  <Override PartName="/word/media/rId3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material</w:t>
      </w:r>
    </w:p>
    <w:p>
      <w:pPr>
        <w:pStyle w:val="Author"/>
      </w:pPr>
      <w:r>
        <w:t xml:space="preserve">Ian Driver</w:t>
      </w:r>
    </w:p>
    <w:p>
      <w:pPr>
        <w:pStyle w:val="FirstParagraph"/>
      </w:pPr>
      <w:r>
        <w:rPr>
          <w:i/>
          <w:iCs/>
        </w:rPr>
        <w:t xml:space="preserve">Independent Researcher, Detroit, MI, USA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Correspondence: driver.ian@gmail.com</w:t>
      </w:r>
    </w:p>
    <w:p>
      <w:pPr>
        <w:pStyle w:val="BodyText"/>
      </w:pPr>
      <w:r>
        <w:rPr>
          <w:i/>
          <w:iCs/>
        </w:rPr>
        <w:t xml:space="preserve">Supplement to</w:t>
      </w:r>
      <w:r>
        <w:rPr>
          <w:i/>
          <w:iCs/>
        </w:rPr>
        <w:t xml:space="preserve"> </w:t>
      </w:r>
      <w:r>
        <w:rPr>
          <w:i/>
          <w:iCs/>
        </w:rPr>
        <w:t xml:space="preserve">“Accuracy and computational cost of reference-based cell-type annotation on commodity hardware”</w:t>
      </w:r>
      <w:r>
        <w:rPr>
          <w:i/>
          <w:iCs/>
        </w:rPr>
        <w:t xml:space="preserve">. Figures S1 to S14 and Tables S1 to S6 support the main manuscript.</w:t>
      </w:r>
    </w:p>
    <w:bookmarkStart w:id="350" w:name="supplementary-figures"/>
    <w:p>
      <w:pPr>
        <w:pStyle w:val="Heading1"/>
      </w:pPr>
      <w:r>
        <w:t xml:space="preserve">Supplementary figures</w:t>
      </w:r>
    </w:p>
    <w:p>
      <w:pPr>
        <w:pStyle w:val="FirstParagraph"/>
      </w:pPr>
      <w:r>
        <w:drawing>
          <wp:inline>
            <wp:extent cx="5334000" cy="3344986"/>
            <wp:effectExtent b="0" l="0" r="0" t="0"/>
            <wp:docPr descr="confusion matrices" title="" id="336" name="Picture"/>
            <a:graphic>
              <a:graphicData uri="http://schemas.openxmlformats.org/drawingml/2006/picture">
                <pic:pic>
                  <pic:nvPicPr>
                    <pic:cNvPr descr="/Users/iandriver/Downloads/actinn-jax-benchmark/docs/figures/fig_confusion.png" id="337" name="Picture"/>
                    <pic:cNvPicPr>
                      <a:picLocks noChangeArrowheads="1" noChangeAspect="1"/>
                    </pic:cNvPicPr>
                  </pic:nvPicPr>
                  <pic:blipFill>
                    <a:blip r:embed="rId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4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S1.</w:t>
      </w:r>
      <w:r>
        <w:t xml:space="preserve"> </w:t>
      </w:r>
      <w:r>
        <w:t xml:space="preserve">Confusion matrices for broad and focused annotation of the held-out liver study. Entries are fractions within each true type; outlined off-diagonal cells receive lineage credit in the Cell Ontology. The displayed twelve types are a subset of the query, so their average scores differ from query-wide concordance. The broad reference scores 0.12 exact match plus 0.22 lineage credit; the focused reference scores 0.63 plus 0.05. Lineage credit includes related labels at different depths and does not establish fine-type identity.</w:t>
      </w:r>
    </w:p>
    <w:p>
      <w:pPr>
        <w:pStyle w:val="BodyText"/>
      </w:pPr>
      <w:r>
        <w:drawing>
          <wp:inline>
            <wp:extent cx="5334000" cy="3825741"/>
            <wp:effectExtent b="0" l="0" r="0" t="0"/>
            <wp:docPr descr="per-class recall, blood and gut" title="" id="339" name="Picture"/>
            <a:graphic>
              <a:graphicData uri="http://schemas.openxmlformats.org/drawingml/2006/picture">
                <pic:pic>
                  <pic:nvPicPr>
                    <pic:cNvPr descr="/Users/iandriver/Downloads/actinn-jax-benchmark/docs/figures/fig_perclass_blood_gut_intra.png" id="340" name="Picture"/>
                    <pic:cNvPicPr>
                      <a:picLocks noChangeArrowheads="1"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5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S2.</w:t>
      </w:r>
      <w:r>
        <w:t xml:space="preserve"> </w:t>
      </w:r>
      <w:r>
        <w:t xml:space="preserve">Per-class recall for eleven methods on the 86-type blood+gut split, ordered by</w:t>
      </w:r>
      <w:r>
        <w:t xml:space="preserve"> </w:t>
      </w:r>
      <w:r>
        <w:t xml:space="preserve">how much the methods disagree (best minus worst recall, right-hand strip). The best and worst</w:t>
      </w:r>
      <w:r>
        <w:t xml:space="preserve"> </w:t>
      </w:r>
      <w:r>
        <w:t xml:space="preserve">method differ by a median of 0.30 recall per class and up to 0.73; mean pairwise Spearman</w:t>
      </w:r>
      <w:r>
        <w:t xml:space="preserve"> </w:t>
      </w:r>
      <w:r>
        <w:t xml:space="preserve">between methods’ per-class recall is 0.58. Class size is not the explanation, and on this</w:t>
      </w:r>
      <w:r>
        <w:t xml:space="preserve"> </w:t>
      </w:r>
      <w:r>
        <w:t xml:space="preserve">split it cannot be: capping per label leaves</w:t>
      </w:r>
      <w:r>
        <w:t xml:space="preserve"> </w:t>
      </w:r>
      <w:r>
        <w:rPr>
          <w:b/>
          <w:bCs/>
        </w:rPr>
        <w:t xml:space="preserve">84 of the 86 classes holding exactly 30 test</w:t>
      </w:r>
      <w:r>
        <w:rPr>
          <w:b/>
          <w:bCs/>
        </w:rPr>
        <w:t xml:space="preserve"> </w:t>
      </w:r>
      <w:r>
        <w:rPr>
          <w:b/>
          <w:bCs/>
        </w:rPr>
        <w:t xml:space="preserve">cells</w:t>
      </w:r>
      <w:r>
        <w:t xml:space="preserve">, with the remaining two at 29 and 14. Near-equal query counts limit variation in test precision due to class size. They do not</w:t>
      </w:r>
      <w:r>
        <w:t xml:space="preserve"> </w:t>
      </w:r>
      <w:r>
        <w:t xml:space="preserve">eliminate differences in reference abundance, donor diversity or biological separability.</w:t>
      </w:r>
    </w:p>
    <w:p>
      <w:pPr>
        <w:pStyle w:val="BodyText"/>
      </w:pPr>
      <w:r>
        <w:drawing>
          <wp:inline>
            <wp:extent cx="5334000" cy="3866932"/>
            <wp:effectExtent b="0" l="0" r="0" t="0"/>
            <wp:docPr descr="per-class recall, lung" title="" id="342" name="Picture"/>
            <a:graphic>
              <a:graphicData uri="http://schemas.openxmlformats.org/drawingml/2006/picture">
                <pic:pic>
                  <pic:nvPicPr>
                    <pic:cNvPr descr="/Users/iandriver/Downloads/actinn-jax-benchmark/docs/figures/fig_perclass_lung_intra.png" id="343" name="Picture"/>
                    <pic:cNvPicPr>
                      <a:picLocks noChangeArrowheads="1" noChangeAspect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6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S3.</w:t>
      </w:r>
      <w:r>
        <w:t xml:space="preserve"> </w:t>
      </w:r>
      <w:r>
        <w:t xml:space="preserve">Per-class recall on the 46-type lung split, drawn as in Figure S2. Methods</w:t>
      </w:r>
      <w:r>
        <w:t xml:space="preserve"> </w:t>
      </w:r>
      <w:r>
        <w:t xml:space="preserve">agree more here than on blood+gut: mean pairwise Spearman 0.65, median best-minus-worst 0.16.</w:t>
      </w:r>
    </w:p>
    <w:p>
      <w:pPr>
        <w:pStyle w:val="BodyText"/>
      </w:pPr>
      <w:r>
        <w:drawing>
          <wp:inline>
            <wp:extent cx="5334000" cy="4023132"/>
            <wp:effectExtent b="0" l="0" r="0" t="0"/>
            <wp:docPr descr="per-class recall, liver" title="" id="345" name="Picture"/>
            <a:graphic>
              <a:graphicData uri="http://schemas.openxmlformats.org/drawingml/2006/picture">
                <pic:pic>
                  <pic:nvPicPr>
                    <pic:cNvPr descr="/Users/iandriver/Downloads/actinn-jax-benchmark/docs/figures/fig_perclass_liver_intra.png" id="346" name="Picture"/>
                    <pic:cNvPicPr>
                      <a:picLocks noChangeArrowheads="1"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3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S4.</w:t>
      </w:r>
      <w:r>
        <w:t xml:space="preserve"> </w:t>
      </w:r>
      <w:r>
        <w:t xml:space="preserve">Per-class recall on the 36-type liver split, drawn as in Figure S2. Mean</w:t>
      </w:r>
      <w:r>
        <w:t xml:space="preserve"> </w:t>
      </w:r>
      <w:r>
        <w:t xml:space="preserve">pairwise Spearman is 0.66, but the median best-minus-worst gap is 0.43, the widest</w:t>
      </w:r>
      <w:r>
        <w:t xml:space="preserve"> </w:t>
      </w:r>
      <w:r>
        <w:t xml:space="preserve">disagreement of the three splits, and a reminder that a high rank correlation between methods</w:t>
      </w:r>
      <w:r>
        <w:t xml:space="preserve"> </w:t>
      </w:r>
      <w:r>
        <w:t xml:space="preserve">still leaves large per-class differences.</w:t>
      </w:r>
    </w:p>
    <w:p>
      <w:pPr>
        <w:pStyle w:val="BodyText"/>
      </w:pPr>
      <w:r>
        <w:drawing>
          <wp:inline>
            <wp:extent cx="5334000" cy="4186558"/>
            <wp:effectExtent b="0" l="0" r="0" t="0"/>
            <wp:docPr descr="per-class recall, brain clusters" title="" id="348" name="Picture"/>
            <a:graphic>
              <a:graphicData uri="http://schemas.openxmlformats.org/drawingml/2006/picture">
                <pic:pic>
                  <pic:nvPicPr>
                    <pic:cNvPr descr="/Users/iandriver/Downloads/actinn-jax-benchmark/docs/figures/fig_perclass_brain_cluster_intra.png" id="349" name="Picture"/>
                    <pic:cNvPicPr>
                      <a:picLocks noChangeArrowheads="1" noChangeAspect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6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S5.</w:t>
      </w:r>
      <w:r>
        <w:t xml:space="preserve"> </w:t>
      </w:r>
      <w:r>
        <w:t xml:space="preserve">Per-class recall on the 151-type brain cluster split, drawn as in Figure S2.</w:t>
      </w:r>
      <w:r>
        <w:t xml:space="preserve"> </w:t>
      </w:r>
      <w:r>
        <w:t xml:space="preserve">This is the split where the panel’s ranking inverts (§3.1): the two correlation methods,</w:t>
      </w:r>
      <w:r>
        <w:t xml:space="preserve"> </w:t>
      </w:r>
      <w:r>
        <w:t xml:space="preserve">weakest almost everywhere else, sit among the leaders, and actinn-jax is tenth of eleven.</w:t>
      </w:r>
      <w:r>
        <w:t xml:space="preserve"> </w:t>
      </w:r>
      <w:r>
        <w:t xml:space="preserve">Mean pairwise Spearman is 0.61 and the median best-minus-worst gap is 0.32, rising to 0.88.</w:t>
      </w:r>
      <w:r>
        <w:t xml:space="preserve"> </w:t>
      </w:r>
      <w:r>
        <w:t xml:space="preserve">The disagreement is concentrated in the</w:t>
      </w:r>
      <w:r>
        <w:t xml:space="preserve"> </w:t>
      </w:r>
      <w:r>
        <w:rPr>
          <w:rStyle w:val="VerbatimChar"/>
        </w:rPr>
        <w:t xml:space="preserve">L2/3 IT</w:t>
      </w:r>
      <w:r>
        <w:t xml:space="preserve">,</w:t>
      </w:r>
      <w:r>
        <w:t xml:space="preserve"> </w:t>
      </w:r>
      <w:r>
        <w:rPr>
          <w:rStyle w:val="VerbatimChar"/>
        </w:rPr>
        <w:t xml:space="preserve">Sst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Vip</w:t>
      </w:r>
      <w:r>
        <w:t xml:space="preserve"> </w:t>
      </w:r>
      <w:r>
        <w:t xml:space="preserve">families. Query counts</w:t>
      </w:r>
      <w:r>
        <w:t xml:space="preserve"> </w:t>
      </w:r>
      <w:r>
        <w:t xml:space="preserve">are nearly equal after capping:</w:t>
      </w:r>
      <w:r>
        <w:t xml:space="preserve"> </w:t>
      </w:r>
      <w:r>
        <w:t xml:space="preserve">capping at 100 cells per cluster leaves 130 of the 151 classes tied at 25 test cells.</w:t>
      </w:r>
    </w:p>
    <w:bookmarkEnd w:id="350"/>
    <w:bookmarkStart w:id="351" w:name="supplementary-tables"/>
    <w:p>
      <w:pPr>
        <w:pStyle w:val="Heading1"/>
      </w:pPr>
      <w:r>
        <w:t xml:space="preserve">Supplementary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6"/>
        <w:gridCol w:w="1250"/>
        <w:gridCol w:w="1146"/>
        <w:gridCol w:w="2084"/>
        <w:gridCol w:w="1042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rejection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actinn-jax</w:t>
            </w:r>
          </w:p>
        </w:tc>
        <w:tc>
          <w:tcPr/>
          <w:p>
            <w:pPr>
              <w:pStyle w:val="Compact"/>
            </w:pPr>
            <w:r>
              <w:t xml:space="preserve">[Ma &amp; Pellegrini 2020]</w:t>
            </w:r>
          </w:p>
        </w:tc>
        <w:tc>
          <w:tcPr/>
          <w:p>
            <w:pPr>
              <w:pStyle w:val="Compact"/>
            </w:pPr>
            <w:r>
              <w:t xml:space="preserve">classical</w:t>
            </w:r>
          </w:p>
        </w:tc>
        <w:tc>
          <w:tcPr/>
          <w:p>
            <w:pPr>
              <w:pStyle w:val="Compact"/>
            </w:pPr>
            <w:r>
              <w:t xml:space="preserve">JAX MLP</w:t>
            </w:r>
          </w:p>
        </w:tc>
        <w:tc>
          <w:tcPr/>
          <w:p>
            <w:pPr>
              <w:pStyle w:val="Compact"/>
            </w:pPr>
            <w:r>
              <w:t xml:space="preserve">confidence threshold</w:t>
            </w:r>
          </w:p>
        </w:tc>
        <w:tc>
          <w:tcPr/>
          <w:p>
            <w:pPr>
              <w:pStyle w:val="Compact"/>
            </w:pPr>
            <w:r>
              <w:t xml:space="preserve">JAX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</w:t>
            </w:r>
          </w:p>
        </w:tc>
        <w:tc>
          <w:tcPr/>
          <w:p>
            <w:pPr>
              <w:pStyle w:val="Compact"/>
            </w:pPr>
            <w:r>
              <w:t xml:space="preserve">[Pedregosa 2011]</w:t>
            </w:r>
          </w:p>
        </w:tc>
        <w:tc>
          <w:tcPr/>
          <w:p>
            <w:pPr>
              <w:pStyle w:val="Compact"/>
            </w:pPr>
            <w:r>
              <w:t xml:space="preserve">classical</w:t>
            </w:r>
          </w:p>
        </w:tc>
        <w:tc>
          <w:tcPr/>
          <w:p>
            <w:pPr>
              <w:pStyle w:val="Compact"/>
            </w:pPr>
            <w:r>
              <w:t xml:space="preserve">linear SVM (SGD)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scikit-learn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</w:t>
            </w:r>
          </w:p>
        </w:tc>
        <w:tc>
          <w:tcPr/>
          <w:p>
            <w:pPr>
              <w:pStyle w:val="Compact"/>
            </w:pPr>
            <w:r>
              <w:t xml:space="preserve">[Pedregosa 2011]</w:t>
            </w:r>
          </w:p>
        </w:tc>
        <w:tc>
          <w:tcPr/>
          <w:p>
            <w:pPr>
              <w:pStyle w:val="Compact"/>
            </w:pPr>
            <w:r>
              <w:t xml:space="preserve">classical</w:t>
            </w:r>
          </w:p>
        </w:tc>
        <w:tc>
          <w:tcPr/>
          <w:p>
            <w:pPr>
              <w:pStyle w:val="Compact"/>
            </w:pPr>
            <w:r>
              <w:t xml:space="preserve">k-nearest neighbors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scikit-learn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CellTypist</w:t>
            </w:r>
          </w:p>
        </w:tc>
        <w:tc>
          <w:tcPr/>
          <w:p>
            <w:pPr>
              <w:pStyle w:val="Compact"/>
            </w:pPr>
            <w:r>
              <w:t xml:space="preserve">[Domínguez Conde 2022]</w:t>
            </w:r>
          </w:p>
        </w:tc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L2 logistic regression</w:t>
            </w:r>
          </w:p>
        </w:tc>
        <w:tc>
          <w:tcPr/>
          <w:p>
            <w:pPr>
              <w:pStyle w:val="Compact"/>
            </w:pPr>
            <w:r>
              <w:t xml:space="preserve">prob threshold</w:t>
            </w:r>
          </w:p>
        </w:tc>
        <w:tc>
          <w:tcPr/>
          <w:p>
            <w:pPr>
              <w:pStyle w:val="Compact"/>
            </w:pPr>
            <w:r>
              <w:t xml:space="preserve">scikit-learn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linear-anova-pca</w:t>
            </w:r>
          </w:p>
        </w:tc>
        <w:tc>
          <w:tcPr/>
          <w:p>
            <w:pPr>
              <w:pStyle w:val="Compact"/>
            </w:pPr>
            <w:r>
              <w:t xml:space="preserve">[Pedregosa 2011] †</w:t>
            </w:r>
          </w:p>
        </w:tc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normalize, ANOVA, PCA(220), logreg</w:t>
            </w:r>
          </w:p>
        </w:tc>
        <w:tc>
          <w:tcPr/>
          <w:p>
            <w:pPr>
              <w:pStyle w:val="Compact"/>
            </w:pPr>
            <w:r>
              <w:t xml:space="preserve">prob</w:t>
            </w:r>
          </w:p>
        </w:tc>
        <w:tc>
          <w:tcPr/>
          <w:p>
            <w:pPr>
              <w:pStyle w:val="Compact"/>
            </w:pPr>
            <w:r>
              <w:t xml:space="preserve">scikit-learn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scTOP</w:t>
            </w:r>
          </w:p>
        </w:tc>
        <w:tc>
          <w:tcPr/>
          <w:p>
            <w:pPr>
              <w:pStyle w:val="Compact"/>
            </w:pPr>
            <w:r>
              <w:t xml:space="preserve">[Yampolskaya 2023]</w:t>
            </w:r>
          </w:p>
        </w:tc>
        <w:tc>
          <w:tcPr/>
          <w:p>
            <w:pPr>
              <w:pStyle w:val="Compact"/>
            </w:pPr>
            <w:r>
              <w:t xml:space="preserve">parameter-free</w:t>
            </w:r>
          </w:p>
        </w:tc>
        <w:tc>
          <w:tcPr/>
          <w:p>
            <w:pPr>
              <w:pStyle w:val="Compact"/>
            </w:pPr>
            <w:r>
              <w:t xml:space="preserve">rank z-score class-average projection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NumPy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SingleR</w:t>
            </w:r>
          </w:p>
        </w:tc>
        <w:tc>
          <w:tcPr/>
          <w:p>
            <w:pPr>
              <w:pStyle w:val="Compact"/>
            </w:pPr>
            <w:r>
              <w:t xml:space="preserve">[Aran 2019]</w:t>
            </w:r>
          </w:p>
        </w:tc>
        <w:tc>
          <w:tcPr/>
          <w:p>
            <w:pPr>
              <w:pStyle w:val="Compact"/>
            </w:pPr>
            <w:r>
              <w:t xml:space="preserve">correlation</w:t>
            </w:r>
          </w:p>
        </w:tc>
        <w:tc>
          <w:tcPr/>
          <w:p>
            <w:pPr>
              <w:pStyle w:val="Compact"/>
            </w:pPr>
            <w:r>
              <w:t xml:space="preserve">Spearman + fine-tuning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scmap-cluster</w:t>
            </w:r>
          </w:p>
        </w:tc>
        <w:tc>
          <w:tcPr/>
          <w:p>
            <w:pPr>
              <w:pStyle w:val="Compact"/>
            </w:pPr>
            <w:r>
              <w:t xml:space="preserve">[Kiselev 2018]</w:t>
            </w:r>
          </w:p>
        </w:tc>
        <w:tc>
          <w:tcPr/>
          <w:p>
            <w:pPr>
              <w:pStyle w:val="Compact"/>
            </w:pPr>
            <w:r>
              <w:t xml:space="preserve">correlation</w:t>
            </w:r>
          </w:p>
        </w:tc>
        <w:tc>
          <w:tcPr/>
          <w:p>
            <w:pPr>
              <w:pStyle w:val="Compact"/>
            </w:pPr>
            <w:r>
              <w:t xml:space="preserve">centroid cosine</w:t>
            </w:r>
          </w:p>
        </w:tc>
        <w:tc>
          <w:tcPr/>
          <w:p>
            <w:pPr>
              <w:pStyle w:val="Compact"/>
            </w:pPr>
            <w:r>
              <w:t xml:space="preserve">yes (unassigned)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scANVI</w:t>
            </w:r>
          </w:p>
        </w:tc>
        <w:tc>
          <w:tcPr/>
          <w:p>
            <w:pPr>
              <w:pStyle w:val="Compact"/>
            </w:pPr>
            <w:r>
              <w:t xml:space="preserve">[Xu 2021]</w:t>
            </w:r>
          </w:p>
        </w:tc>
        <w:tc>
          <w:tcPr/>
          <w:p>
            <w:pPr>
              <w:pStyle w:val="Compact"/>
            </w:pPr>
            <w:r>
              <w:t xml:space="preserve">deep</w:t>
            </w:r>
          </w:p>
        </w:tc>
        <w:tc>
          <w:tcPr/>
          <w:p>
            <w:pPr>
              <w:pStyle w:val="Compact"/>
            </w:pPr>
            <w:r>
              <w:t xml:space="preserve">scVI semi-supervised VAE</w:t>
            </w:r>
          </w:p>
        </w:tc>
        <w:tc>
          <w:tcPr/>
          <w:p>
            <w:pPr>
              <w:pStyle w:val="Compact"/>
            </w:pPr>
            <w:r>
              <w:t xml:space="preserve">prob</w:t>
            </w:r>
          </w:p>
        </w:tc>
        <w:tc>
          <w:tcPr/>
          <w:p>
            <w:pPr>
              <w:pStyle w:val="Compact"/>
            </w:pPr>
            <w:r>
              <w:t xml:space="preserve">scVI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scArches</w:t>
            </w:r>
          </w:p>
        </w:tc>
        <w:tc>
          <w:tcPr/>
          <w:p>
            <w:pPr>
              <w:pStyle w:val="Compact"/>
            </w:pPr>
            <w:r>
              <w:t xml:space="preserve">[Lotfollahi 2022]</w:t>
            </w:r>
          </w:p>
        </w:tc>
        <w:tc>
          <w:tcPr/>
          <w:p>
            <w:pPr>
              <w:pStyle w:val="Compact"/>
            </w:pPr>
            <w:r>
              <w:t xml:space="preserve">deep</w:t>
            </w:r>
          </w:p>
        </w:tc>
        <w:tc>
          <w:tcPr/>
          <w:p>
            <w:pPr>
              <w:pStyle w:val="Compact"/>
            </w:pPr>
            <w:r>
              <w:t xml:space="preserve">scANVI reference surgery</w:t>
            </w:r>
          </w:p>
        </w:tc>
        <w:tc>
          <w:tcPr/>
          <w:p>
            <w:pPr>
              <w:pStyle w:val="Compact"/>
            </w:pPr>
            <w:r>
              <w:t xml:space="preserve">prob</w:t>
            </w:r>
          </w:p>
        </w:tc>
        <w:tc>
          <w:tcPr/>
          <w:p>
            <w:pPr>
              <w:pStyle w:val="Compact"/>
            </w:pPr>
            <w:r>
              <w:t xml:space="preserve">scVI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ProtoCloud</w:t>
            </w:r>
          </w:p>
        </w:tc>
        <w:tc>
          <w:tcPr/>
          <w:p>
            <w:pPr>
              <w:pStyle w:val="Compact"/>
            </w:pPr>
            <w:r>
              <w:t xml:space="preserve">[Guo &amp; Ding 2026]</w:t>
            </w:r>
          </w:p>
        </w:tc>
        <w:tc>
          <w:tcPr/>
          <w:p>
            <w:pPr>
              <w:pStyle w:val="Compact"/>
            </w:pPr>
            <w:r>
              <w:t xml:space="preserve">deep</w:t>
            </w:r>
          </w:p>
        </w:tc>
        <w:tc>
          <w:tcPr/>
          <w:p>
            <w:pPr>
              <w:pStyle w:val="Compact"/>
            </w:pPr>
            <w:r>
              <w:t xml:space="preserve">prototype VAE + LRP attribution</w:t>
            </w:r>
          </w:p>
        </w:tc>
        <w:tc>
          <w:tcPr/>
          <w:p>
            <w:pPr>
              <w:pStyle w:val="Compact"/>
            </w:pPr>
            <w:r>
              <w:t xml:space="preserve">ambiguity flag</w:t>
            </w:r>
          </w:p>
        </w:tc>
        <w:tc>
          <w:tcPr/>
          <w:p>
            <w:pPr>
              <w:pStyle w:val="Compact"/>
            </w:pPr>
            <w:r>
              <w:t xml:space="preserve">PyTorch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scPRINT</w:t>
            </w:r>
          </w:p>
        </w:tc>
        <w:tc>
          <w:tcPr/>
          <w:p>
            <w:pPr>
              <w:pStyle w:val="Compact"/>
            </w:pPr>
            <w:r>
              <w:t xml:space="preserve">[Kalfon 2025]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pretrained transformer, zero-shot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PyTorch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Pan-human Azimuth</w:t>
            </w:r>
          </w:p>
        </w:tc>
        <w:tc>
          <w:tcPr/>
          <w:p>
            <w:pPr>
              <w:pStyle w:val="Compact"/>
            </w:pPr>
            <w:r>
              <w:t xml:space="preserve">[Sarkar et al. 2026]</w:t>
            </w:r>
          </w:p>
        </w:tc>
        <w:tc>
          <w:tcPr/>
          <w:p>
            <w:pPr>
              <w:pStyle w:val="Compact"/>
            </w:pPr>
            <w:r>
              <w:t xml:space="preserve">pretrained</w:t>
            </w:r>
          </w:p>
        </w:tc>
        <w:tc>
          <w:tcPr/>
          <w:p>
            <w:pPr>
              <w:pStyle w:val="Compact"/>
            </w:pPr>
            <w:r>
              <w:t xml:space="preserve">8-level hierarchical NN, fixed 382-leaf typology</w:t>
            </w:r>
          </w:p>
        </w:tc>
        <w:tc>
          <w:tcPr/>
          <w:p>
            <w:pPr>
              <w:pStyle w:val="Compact"/>
            </w:pPr>
            <w:r>
              <w:t xml:space="preserve">trained</w:t>
            </w:r>
            <w:r>
              <w:t xml:space="preserve"> </w:t>
            </w:r>
            <w:r>
              <w:rPr>
                <w:rStyle w:val="VerbatimChar"/>
              </w:rPr>
              <w:t xml:space="preserve">Unassigned</w:t>
            </w:r>
          </w:p>
        </w:tc>
        <w:tc>
          <w:tcPr/>
          <w:p>
            <w:pPr>
              <w:pStyle w:val="Compact"/>
            </w:pPr>
            <w:r>
              <w:t xml:space="preserve">TensorFlow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S1.</w:t>
      </w:r>
      <w:r>
        <w:t xml:space="preserve"> </w:t>
      </w:r>
      <w:r>
        <w:t xml:space="preserve">The benchmarked methods: model family (</w:t>
      </w:r>
      <w:r>
        <w:rPr>
          <w:i/>
          <w:iCs/>
        </w:rPr>
        <w:t xml:space="preserve">tier</w:t>
      </w:r>
      <w:r>
        <w:t xml:space="preserve">), the engine each one runs, whether</w:t>
      </w:r>
      <w:r>
        <w:t xml:space="preserve"> </w:t>
      </w:r>
      <w:r>
        <w:t xml:space="preserve">it can decline to call a cell (</w:t>
      </w:r>
      <w:r>
        <w:rPr>
          <w:i/>
          <w:iCs/>
        </w:rPr>
        <w:t xml:space="preserve">rejection</w:t>
      </w:r>
      <w:r>
        <w:t xml:space="preserve">), and the runtime stack it was run on. Bold marks</w:t>
      </w:r>
      <w:r>
        <w:t xml:space="preserve"> </w:t>
      </w:r>
      <w:r>
        <w:t xml:space="preserve">the methods added to this panel here.</w:t>
      </w:r>
    </w:p>
    <w:p>
      <w:pPr>
        <w:pStyle w:val="BodyText"/>
      </w:pPr>
      <w:r>
        <w:t xml:space="preserve">†</w:t>
      </w:r>
      <w:r>
        <w:t xml:space="preserve"> </w:t>
      </w:r>
      <w:r>
        <w:rPr>
          <w:rStyle w:val="VerbatimChar"/>
        </w:rPr>
        <w:t xml:space="preserve">linear-anova-pca</w:t>
      </w:r>
      <w:r>
        <w:t xml:space="preserve"> </w:t>
      </w:r>
      <w:r>
        <w:t xml:space="preserve">follows the Souza and Mehta recipe (doi:10.64898/2026.02.11.705358).</w:t>
      </w:r>
      <w:r>
        <w:t xml:space="preserve"> </w:t>
      </w:r>
      <w:r>
        <w:t xml:space="preserve">The adapter fits up to 20,000 selected genes, 220 PCs and C = 1.0 on the reference.</w:t>
      </w:r>
      <w:r>
        <w:t xml:space="preserve"> </w:t>
      </w:r>
      <w:r>
        <w:t xml:space="preserve">Other classical baselines use untuned settings; tuning effort is unequal.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218"/>
        <w:gridCol w:w="852"/>
        <w:gridCol w:w="1340"/>
        <w:gridCol w:w="731"/>
        <w:gridCol w:w="852"/>
        <w:gridCol w:w="13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tissue</w:t>
            </w:r>
          </w:p>
        </w:tc>
        <w:tc>
          <w:tcPr/>
          <w:p>
            <w:pPr>
              <w:pStyle w:val="Compact"/>
            </w:pPr>
            <w:r>
              <w:t xml:space="preserve">#types</w:t>
            </w:r>
          </w:p>
        </w:tc>
        <w:tc>
          <w:tcPr/>
          <w:p>
            <w:pPr>
              <w:pStyle w:val="Compact"/>
            </w:pPr>
            <w:r>
              <w:t xml:space="preserve">genes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lung_intra</w:t>
            </w:r>
          </w:p>
        </w:tc>
        <w:tc>
          <w:tcPr/>
          <w:p>
            <w:pPr>
              <w:pStyle w:val="Compact"/>
            </w:pPr>
            <w:r>
              <w:t xml:space="preserve">[Travaglini 2020]</w:t>
            </w:r>
          </w:p>
        </w:tc>
        <w:tc>
          <w:tcPr/>
          <w:p>
            <w:pPr>
              <w:pStyle w:val="Compact"/>
            </w:pPr>
            <w:r>
              <w:t xml:space="preserve">within-dataset</w:t>
            </w:r>
          </w:p>
        </w:tc>
        <w:tc>
          <w:tcPr/>
          <w:p>
            <w:pPr>
              <w:pStyle w:val="Compact"/>
            </w:pPr>
            <w:r>
              <w:t xml:space="preserve">lung (Krasnow)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Ensembl</w:t>
            </w:r>
          </w:p>
        </w:tc>
        <w:tc>
          <w:tcPr/>
          <w:p>
            <w:pPr>
              <w:pStyle w:val="Compact"/>
            </w:pPr>
            <w:r>
              <w:t xml:space="preserve">300 cells/type 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lung_cross</w:t>
            </w:r>
          </w:p>
        </w:tc>
        <w:tc>
          <w:tcPr/>
          <w:p>
            <w:pPr>
              <w:pStyle w:val="Compact"/>
            </w:pPr>
            <w:r>
              <w:t xml:space="preserve">[Sikkema 2023] to [Travaglini 2020]</w:t>
            </w:r>
          </w:p>
        </w:tc>
        <w:tc>
          <w:tcPr/>
          <w:p>
            <w:pPr>
              <w:pStyle w:val="Compact"/>
            </w:pPr>
            <w:r>
              <w:t xml:space="preserve">cross-dataset</w:t>
            </w:r>
          </w:p>
        </w:tc>
        <w:tc>
          <w:tcPr/>
          <w:p>
            <w:pPr>
              <w:pStyle w:val="Compact"/>
            </w:pPr>
            <w:r>
              <w:t xml:space="preserve">lung (HLCA to Krasnow)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Ensembl</w:t>
            </w:r>
          </w:p>
        </w:tc>
        <w:tc>
          <w:tcPr/>
          <w:p>
            <w:pPr>
              <w:pStyle w:val="Compact"/>
            </w:pPr>
            <w:r>
              <w:t xml:space="preserve">query study present in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liver_intra</w:t>
            </w:r>
          </w:p>
        </w:tc>
        <w:tc>
          <w:tcPr/>
          <w:p>
            <w:pPr>
              <w:pStyle w:val="Compact"/>
            </w:pPr>
            <w:r>
              <w:t xml:space="preserve">[Edgar 2026]</w:t>
            </w:r>
          </w:p>
        </w:tc>
        <w:tc>
          <w:tcPr/>
          <w:p>
            <w:pPr>
              <w:pStyle w:val="Compact"/>
            </w:pPr>
            <w:r>
              <w:t xml:space="preserve">within-dataset</w:t>
            </w:r>
          </w:p>
        </w:tc>
        <w:tc>
          <w:tcPr/>
          <w:p>
            <w:pPr>
              <w:pStyle w:val="Compact"/>
            </w:pPr>
            <w:r>
              <w:t xml:space="preserve">liver (HLiCA)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Ensembl</w:t>
            </w:r>
          </w:p>
        </w:tc>
        <w:tc>
          <w:tcPr/>
          <w:p>
            <w:pPr>
              <w:pStyle w:val="Compact"/>
            </w:pPr>
            <w:r>
              <w:t xml:space="preserve">150 cells/type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liver_cross</w:t>
            </w:r>
          </w:p>
        </w:tc>
        <w:tc>
          <w:tcPr/>
          <w:p>
            <w:pPr>
              <w:pStyle w:val="Compact"/>
            </w:pPr>
            <w:r>
              <w:t xml:space="preserve">[Edgar 2026]</w:t>
            </w:r>
          </w:p>
        </w:tc>
        <w:tc>
          <w:tcPr/>
          <w:p>
            <w:pPr>
              <w:pStyle w:val="Compact"/>
            </w:pPr>
            <w:r>
              <w:t xml:space="preserve">cross-</w:t>
            </w:r>
            <w:r>
              <w:rPr>
                <w:b/>
                <w:bCs/>
              </w:rPr>
              <w:t xml:space="preserve">study</w:t>
            </w:r>
          </w:p>
        </w:tc>
        <w:tc>
          <w:tcPr/>
          <w:p>
            <w:pPr>
              <w:pStyle w:val="Compact"/>
            </w:pPr>
            <w:r>
              <w:t xml:space="preserve">liver (HLiCA)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Ensembl</w:t>
            </w:r>
          </w:p>
        </w:tc>
        <w:tc>
          <w:tcPr/>
          <w:p>
            <w:pPr>
              <w:pStyle w:val="Compact"/>
            </w:pPr>
            <w:r>
              <w:t xml:space="preserve">train 6 studies, test withheld study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blood_gut_intra</w:t>
            </w:r>
          </w:p>
        </w:tc>
        <w:tc>
          <w:tcPr/>
          <w:p>
            <w:pPr>
              <w:pStyle w:val="Compact"/>
            </w:pPr>
            <w:r>
              <w:t xml:space="preserve">[Alegbe 2026]</w:t>
            </w:r>
          </w:p>
        </w:tc>
        <w:tc>
          <w:tcPr/>
          <w:p>
            <w:pPr>
              <w:pStyle w:val="Compact"/>
            </w:pPr>
            <w:r>
              <w:t xml:space="preserve">within-dataset</w:t>
            </w:r>
          </w:p>
        </w:tc>
        <w:tc>
          <w:tcPr/>
          <w:p>
            <w:pPr>
              <w:pStyle w:val="Compact"/>
            </w:pPr>
            <w:r>
              <w:t xml:space="preserve">blood + gut (IBDverse)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Ensembl</w:t>
            </w:r>
          </w:p>
        </w:tc>
        <w:tc>
          <w:tcPr/>
          <w:p>
            <w:pPr>
              <w:pStyle w:val="Compact"/>
            </w:pPr>
            <w:r>
              <w:t xml:space="preserve">high cardinality; no CL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pbmc</w:t>
            </w:r>
          </w:p>
        </w:tc>
        <w:tc>
          <w:tcPr/>
          <w:p>
            <w:pPr>
              <w:pStyle w:val="Compact"/>
            </w:pPr>
            <w:r>
              <w:t xml:space="preserve">[10x Genomics 2016]</w:t>
            </w:r>
          </w:p>
        </w:tc>
        <w:tc>
          <w:tcPr/>
          <w:p>
            <w:pPr>
              <w:pStyle w:val="Compact"/>
            </w:pPr>
            <w:r>
              <w:t xml:space="preserve">within-dataset</w:t>
            </w:r>
          </w:p>
        </w:tc>
        <w:tc>
          <w:tcPr/>
          <w:p>
            <w:pPr>
              <w:pStyle w:val="Compact"/>
            </w:pPr>
            <w:r>
              <w:t xml:space="preserve">PBMC (pbmc3k)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symbols</w:t>
            </w:r>
          </w:p>
        </w:tc>
        <w:tc>
          <w:tcPr/>
          <w:p>
            <w:pPr>
              <w:pStyle w:val="Compact"/>
            </w:pPr>
            <w:r>
              <w:t xml:space="preserve">small-n; scPRINT skips (symbols)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brain_intra</w:t>
            </w:r>
          </w:p>
        </w:tc>
        <w:tc>
          <w:tcPr/>
          <w:p>
            <w:pPr>
              <w:pStyle w:val="Compact"/>
            </w:pPr>
            <w:r>
              <w:t xml:space="preserve">[Jorstad 2023]</w:t>
            </w:r>
          </w:p>
        </w:tc>
        <w:tc>
          <w:tcPr/>
          <w:p>
            <w:pPr>
              <w:pStyle w:val="Compact"/>
            </w:pPr>
            <w:r>
              <w:t xml:space="preserve">within-dataset</w:t>
            </w:r>
          </w:p>
        </w:tc>
        <w:tc>
          <w:tcPr/>
          <w:p>
            <w:pPr>
              <w:pStyle w:val="Compact"/>
            </w:pPr>
            <w:r>
              <w:t xml:space="preserve">brain, MTG (Allen)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Ensembl</w:t>
            </w:r>
          </w:p>
        </w:tc>
        <w:tc>
          <w:tcPr/>
          <w:p>
            <w:pPr>
              <w:pStyle w:val="Compact"/>
            </w:pPr>
            <w:r>
              <w:t xml:space="preserve">single nuclei; Allen subclasses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brain_cluster</w:t>
            </w:r>
          </w:p>
        </w:tc>
        <w:tc>
          <w:tcPr/>
          <w:p>
            <w:pPr>
              <w:pStyle w:val="Compact"/>
            </w:pPr>
            <w:r>
              <w:t xml:space="preserve">[Jorstad 2023]</w:t>
            </w:r>
          </w:p>
        </w:tc>
        <w:tc>
          <w:tcPr/>
          <w:p>
            <w:pPr>
              <w:pStyle w:val="Compact"/>
            </w:pPr>
            <w:r>
              <w:t xml:space="preserve">within-dataset</w:t>
            </w:r>
          </w:p>
        </w:tc>
        <w:tc>
          <w:tcPr/>
          <w:p>
            <w:pPr>
              <w:pStyle w:val="Compact"/>
            </w:pPr>
            <w:r>
              <w:t xml:space="preserve">brain, MTG (Allen)</w:t>
            </w:r>
          </w:p>
        </w:tc>
        <w:tc>
          <w:tcPr/>
          <w:p>
            <w:pPr>
              <w:pStyle w:val="Compact"/>
            </w:pPr>
            <w:r>
              <w:t xml:space="preserve">151</w:t>
            </w:r>
          </w:p>
        </w:tc>
        <w:tc>
          <w:tcPr/>
          <w:p>
            <w:pPr>
              <w:pStyle w:val="Compact"/>
            </w:pPr>
            <w:r>
              <w:t xml:space="preserve">Ensembl</w:t>
            </w:r>
          </w:p>
        </w:tc>
        <w:tc>
          <w:tcPr/>
          <w:p>
            <w:pPr>
              <w:pStyle w:val="Compact"/>
            </w:pPr>
            <w:r>
              <w:t xml:space="preserve">Allen source, CCN cell sets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S2.</w:t>
      </w:r>
      <w:r>
        <w:t xml:space="preserve"> </w:t>
      </w:r>
      <w:r>
        <w:t xml:space="preserve">The eight benchmark splits over seven datasets.</w:t>
      </w:r>
      <w:r>
        <w:t xml:space="preserve"> </w:t>
      </w:r>
      <w:r>
        <w:rPr>
          <w:i/>
          <w:iCs/>
        </w:rPr>
        <w:t xml:space="preserve">split</w:t>
      </w:r>
      <w:r>
        <w:t xml:space="preserve"> </w:t>
      </w:r>
      <w:r>
        <w:t xml:space="preserve">separates within-dataset holdouts from</w:t>
      </w:r>
      <w:r>
        <w:t xml:space="preserve"> </w:t>
      </w:r>
      <w:r>
        <w:t xml:space="preserve">cross-dataset and cross-study transfer;</w:t>
      </w:r>
      <w:r>
        <w:t xml:space="preserve"> </w:t>
      </w:r>
      <w:r>
        <w:rPr>
          <w:i/>
          <w:iCs/>
        </w:rPr>
        <w:t xml:space="preserve">genes</w:t>
      </w:r>
      <w:r>
        <w:t xml:space="preserve"> </w:t>
      </w:r>
      <w:r>
        <w:t xml:space="preserve">records whether the matrix is keyed by</w:t>
      </w:r>
      <w:r>
        <w:t xml:space="preserve"> </w:t>
      </w:r>
      <w:r>
        <w:t xml:space="preserve">Ensembl ids or gene symbols. Brain is labelled with Allen’s</w:t>
      </w:r>
      <w:r>
        <w:t xml:space="preserve"> </w:t>
      </w:r>
      <w:r>
        <w:rPr>
          <w:rStyle w:val="VerbatimChar"/>
        </w:rPr>
        <w:t xml:space="preserve">Subclass</w:t>
      </w:r>
      <w:r>
        <w:t xml:space="preserve"> </w:t>
      </w:r>
      <w:r>
        <w:t xml:space="preserve">rather than with Cell</w:t>
      </w:r>
      <w:r>
        <w:t xml:space="preserve"> </w:t>
      </w:r>
      <w:r>
        <w:t xml:space="preserve">Ontology terms. The dataset’s supplied ontology crosswalk maps its 24 subclasses to 18</w:t>
      </w:r>
      <w:r>
        <w:t xml:space="preserve"> </w:t>
      </w:r>
      <w:r>
        <w:t xml:space="preserve">terms and does not distinguish the 151 clusters, so it is excluded from ontology aggregates.</w:t>
      </w:r>
      <w:r>
        <w:t xml:space="preserve"> </w:t>
      </w:r>
      <w:r>
        <w:t xml:space="preserve">This does not imply that Cell Ontology itself lacks the finer terms.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actinn-jax</w:t>
            </w:r>
          </w:p>
        </w:tc>
        <w:tc>
          <w:tcPr/>
          <w:p>
            <w:pPr>
              <w:pStyle w:val="Compact"/>
            </w:pPr>
            <w:r>
              <w:t xml:space="preserve">best method (acc)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lung_intra (46 types)</w:t>
            </w:r>
          </w:p>
        </w:tc>
        <w:tc>
          <w:tcPr/>
          <w:p>
            <w:pPr>
              <w:pStyle w:val="Compact"/>
            </w:pPr>
            <w:r>
              <w:t xml:space="preserve">0.894</w:t>
            </w:r>
          </w:p>
        </w:tc>
        <w:tc>
          <w:tcPr/>
          <w:p>
            <w:pPr>
              <w:pStyle w:val="Compact"/>
            </w:pPr>
            <w:r>
              <w:t xml:space="preserve">ProtoCloud 0.932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lung_cross (cross-dataset)†</w:t>
            </w:r>
          </w:p>
        </w:tc>
        <w:tc>
          <w:tcPr/>
          <w:p>
            <w:pPr>
              <w:pStyle w:val="Compact"/>
            </w:pPr>
            <w:r>
              <w:t xml:space="preserve">0.752 ontology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ProtoCloud 0.791 ontology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liver_intra (36 types)</w:t>
            </w:r>
          </w:p>
        </w:tc>
        <w:tc>
          <w:tcPr/>
          <w:p>
            <w:pPr>
              <w:pStyle w:val="Compact"/>
            </w:pPr>
            <w:r>
              <w:t xml:space="preserve">0.802</w:t>
            </w:r>
          </w:p>
        </w:tc>
        <w:tc>
          <w:tcPr/>
          <w:p>
            <w:pPr>
              <w:pStyle w:val="Compact"/>
            </w:pPr>
            <w:r>
              <w:t xml:space="preserve">linear-anova-pca 0.804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liver_cross (cross-study)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0.686 exact / 0.731 ontology</w:t>
            </w:r>
          </w:p>
        </w:tc>
        <w:tc>
          <w:tcPr/>
          <w:p>
            <w:pPr>
              <w:pStyle w:val="Compact"/>
            </w:pPr>
            <w:r>
              <w:t xml:space="preserve">actinn-jax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blood_gut (86 types)</w:t>
            </w:r>
          </w:p>
        </w:tc>
        <w:tc>
          <w:tcPr/>
          <w:p>
            <w:pPr>
              <w:pStyle w:val="Compact"/>
            </w:pPr>
            <w:r>
              <w:t xml:space="preserve">0.860</w:t>
            </w:r>
          </w:p>
        </w:tc>
        <w:tc>
          <w:tcPr/>
          <w:p>
            <w:pPr>
              <w:pStyle w:val="Compact"/>
            </w:pPr>
            <w:r>
              <w:t xml:space="preserve">linear-anova-pca 0.902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pbmc (8 types)</w:t>
            </w:r>
          </w:p>
        </w:tc>
        <w:tc>
          <w:tcPr/>
          <w:p>
            <w:pPr>
              <w:pStyle w:val="Compact"/>
            </w:pPr>
            <w:r>
              <w:t xml:space="preserve">0.913</w:t>
            </w:r>
          </w:p>
        </w:tc>
        <w:tc>
          <w:tcPr/>
          <w:p>
            <w:pPr>
              <w:pStyle w:val="Compact"/>
            </w:pPr>
            <w:r>
              <w:t xml:space="preserve">scArches 0.929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brain, subclass (24 types)</w:t>
            </w:r>
          </w:p>
        </w:tc>
        <w:tc>
          <w:tcPr/>
          <w:p>
            <w:pPr>
              <w:pStyle w:val="Compact"/>
            </w:pPr>
            <w:r>
              <w:t xml:space="preserve">0.986</w:t>
            </w:r>
          </w:p>
        </w:tc>
        <w:tc>
          <w:tcPr/>
          <w:p>
            <w:pPr>
              <w:pStyle w:val="Compact"/>
            </w:pPr>
            <w:r>
              <w:t xml:space="preserve">ProtoCloud 0.991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brain, cluster (151 types)</w:t>
            </w:r>
          </w:p>
        </w:tc>
        <w:tc>
          <w:tcPr/>
          <w:p>
            <w:pPr>
              <w:pStyle w:val="Compact"/>
            </w:pPr>
            <w:r>
              <w:t xml:space="preserve">0.741</w:t>
            </w:r>
          </w:p>
        </w:tc>
        <w:tc>
          <w:tcPr/>
          <w:p>
            <w:pPr>
              <w:pStyle w:val="Compact"/>
            </w:pPr>
            <w:r>
              <w:t xml:space="preserve">SingleR 0.845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S3.</w:t>
      </w:r>
      <w:r>
        <w:t xml:space="preserve"> </w:t>
      </w:r>
      <w:r>
        <w:t xml:space="preserve">Eleven-method panel using native-head scArches. Per-dataset accuracy: actinn-jax against whichever method leads that dataset.</w:t>
      </w:r>
      <w:r>
        <w:t xml:space="preserve"> </w:t>
      </w:r>
      <w:r>
        <w:t xml:space="preserve">† Lung across datasets is scored by Cell Ontology concordance; other rows use exact label accuracy.</w:t>
      </w:r>
    </w:p>
    <w:bookmarkEnd w:id="351"/>
    <w:bookmarkStart w:id="361" w:name="cost-and-scaling"/>
    <w:p>
      <w:pPr>
        <w:pStyle w:val="Heading1"/>
      </w:pPr>
      <w:r>
        <w:t xml:space="preserve">Cost and scaling</w:t>
      </w:r>
    </w:p>
    <w:p>
      <w:pPr>
        <w:pStyle w:val="FirstParagraph"/>
      </w:pPr>
      <w:r>
        <w:t xml:space="preserve">These studies report how measured accuracy, runtime and memory vary with the sampled</w:t>
      </w:r>
      <w:r>
        <w:t xml:space="preserve"> </w:t>
      </w:r>
      <w:r>
        <w:t xml:space="preserve">reference, label cardinality and query size.</w:t>
      </w:r>
    </w:p>
    <w:p>
      <w:pPr>
        <w:pStyle w:val="BodyText"/>
      </w:pPr>
      <w:r>
        <w:drawing>
          <wp:inline>
            <wp:extent cx="5334000" cy="1309240"/>
            <wp:effectExtent b="0" l="0" r="0" t="0"/>
            <wp:docPr descr="accuracy and memory against reference size" title="" id="353" name="Picture"/>
            <a:graphic>
              <a:graphicData uri="http://schemas.openxmlformats.org/drawingml/2006/picture">
                <pic:pic>
                  <pic:nvPicPr>
                    <pic:cNvPr descr="/Users/iandriver/Downloads/actinn-jax-benchmark/docs/figures/fig_atlas_scaling.png" id="354" name="Picture"/>
                    <pic:cNvPicPr>
                      <a:picLocks noChangeArrowheads="1" noChangeAspect="1"/>
                    </pic:cNvPicPr>
                  </pic:nvPicPr>
                  <pic:blipFill>
                    <a:blip r:embed="rId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9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S6.</w:t>
      </w:r>
      <w:r>
        <w:t xml:space="preserve"> </w:t>
      </w:r>
      <w:r>
        <w:t xml:space="preserve">Accuracy and peak memory against reference size, four methods carried to atlas</w:t>
      </w:r>
      <w:r>
        <w:t xml:space="preserve"> </w:t>
      </w:r>
      <w:r>
        <w:t xml:space="preserve">scale on three tissues.</w:t>
      </w:r>
      <w:r>
        <w:t xml:space="preserve"> </w:t>
      </w:r>
      <w:r>
        <w:rPr>
          <w:i/>
          <w:iCs/>
        </w:rPr>
        <w:t xml:space="preserve">A:</w:t>
      </w:r>
      <w:r>
        <w:t xml:space="preserve"> </w:t>
      </w:r>
      <w:r>
        <w:t xml:space="preserve">lung, 3.1k to 49k reference cells.</w:t>
      </w:r>
      <w:r>
        <w:t xml:space="preserve"> </w:t>
      </w:r>
      <w:r>
        <w:rPr>
          <w:i/>
          <w:iCs/>
        </w:rPr>
        <w:t xml:space="preserve">B:</w:t>
      </w:r>
      <w:r>
        <w:t xml:space="preserve"> </w:t>
      </w:r>
      <w:r>
        <w:t xml:space="preserve">the HLiCA liver atlas,</w:t>
      </w:r>
      <w:r>
        <w:t xml:space="preserve"> </w:t>
      </w:r>
      <w:r>
        <w:t xml:space="preserve">2.7k to 47k.</w:t>
      </w:r>
      <w:r>
        <w:t xml:space="preserve"> </w:t>
      </w:r>
      <w:r>
        <w:rPr>
          <w:i/>
          <w:iCs/>
        </w:rPr>
        <w:t xml:space="preserve">C:</w:t>
      </w:r>
      <w:r>
        <w:t xml:space="preserve"> </w:t>
      </w:r>
      <w:r>
        <w:t xml:space="preserve">Allen brain (MTG), 1.8k to 46k. Rankings change across samples, with ProtoCloud leading the largest samples.</w:t>
      </w:r>
      <w:r>
        <w:t xml:space="preserve"> </w:t>
      </w:r>
      <w:r>
        <w:rPr>
          <w:i/>
          <w:iCs/>
        </w:rPr>
        <w:t xml:space="preserve">D:</w:t>
      </w:r>
      <w:r>
        <w:t xml:space="preserve"> </w:t>
      </w:r>
      <w:r>
        <w:t xml:space="preserve">peak memory over all three sweeps. Each cap is followed by a 25% query split, so query size and composition change with</w:t>
      </w:r>
      <w:r>
        <w:t xml:space="preserve"> </w:t>
      </w:r>
      <w:r>
        <w:t xml:space="preserve">reference size. Error bars on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are approximate 95% binomial intervals treating</w:t>
      </w:r>
      <w:r>
        <w:t xml:space="preserve"> </w:t>
      </w:r>
      <w:r>
        <w:t xml:space="preserve">cells as independent; they omit donor dependence and training variation. Each point is one run.</w:t>
      </w:r>
    </w:p>
    <w:p>
      <w:pPr>
        <w:pStyle w:val="BodyText"/>
      </w:pPr>
      <w:r>
        <w:drawing>
          <wp:inline>
            <wp:extent cx="5334000" cy="3539981"/>
            <wp:effectExtent b="0" l="0" r="0" t="0"/>
            <wp:docPr descr="fit and predict scaling" title="" id="356" name="Picture"/>
            <a:graphic>
              <a:graphicData uri="http://schemas.openxmlformats.org/drawingml/2006/picture">
                <pic:pic>
                  <pic:nvPicPr>
                    <pic:cNvPr descr="/Users/iandriver/Downloads/actinn-jax-benchmark/docs/figures/fig_scaling.png" id="357" name="Picture"/>
                    <pic:cNvPicPr>
                      <a:picLocks noChangeArrowheads="1" noChangeAspect="1"/>
                    </pic:cNvPicPr>
                  </pic:nvPicPr>
                  <pic:blipFill>
                    <a:blip r:embed="rId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9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S7.</w:t>
      </w:r>
      <w:r>
        <w:t xml:space="preserve"> </w:t>
      </w:r>
      <w:r>
        <w:t xml:space="preserve">Fit and predict time against reference size and label cardinality, for the six</w:t>
      </w:r>
      <w:r>
        <w:t xml:space="preserve"> </w:t>
      </w:r>
      <w:r>
        <w:t xml:space="preserve">CPU methods. Fit grows on both axes for every trained method, steeply for CellTypist and the</w:t>
      </w:r>
      <w:r>
        <w:t xml:space="preserve"> </w:t>
      </w:r>
      <w:r>
        <w:t xml:space="preserve">SVM. Prediction varies little with reference size in this sweep; this behavior is shared across</w:t>
      </w:r>
      <w:r>
        <w:t xml:space="preserve"> </w:t>
      </w:r>
      <w:r>
        <w:t xml:space="preserve">methods, although methods retaining reference cells can have reference-size-dependent complexity; cardinality is the axis that separates them,</w:t>
      </w:r>
      <w:r>
        <w:t xml:space="preserve"> </w:t>
      </w:r>
      <w:r>
        <w:t xml:space="preserve">where actinn-jax rises 3.1 times from 5 to 86 types against the tuned linear pipeline’s 11.0. SVM</w:t>
      </w:r>
      <w:r>
        <w:t xml:space="preserve"> </w:t>
      </w:r>
      <w:r>
        <w:t xml:space="preserve">and kNN predict faster than either throughout. scTOP’s smallest-reference point carries</w:t>
      </w:r>
      <w:r>
        <w:t xml:space="preserve"> </w:t>
      </w:r>
      <w:r>
        <w:t xml:space="preserve">one-time import cost and is not a scaling effect.</w:t>
      </w:r>
    </w:p>
    <w:p>
      <w:pPr>
        <w:pStyle w:val="BodyText"/>
      </w:pPr>
      <w:r>
        <w:drawing>
          <wp:inline>
            <wp:extent cx="5334000" cy="1838894"/>
            <wp:effectExtent b="0" l="0" r="0" t="0"/>
            <wp:docPr descr="annotating an atlas" title="" id="359" name="Picture"/>
            <a:graphic>
              <a:graphicData uri="http://schemas.openxmlformats.org/drawingml/2006/picture">
                <pic:pic>
                  <pic:nvPicPr>
                    <pic:cNvPr descr="/Users/iandriver/Downloads/actinn-jax-benchmark/docs/figures/fig_query_scaling.png" id="360" name="Picture"/>
                    <pic:cNvPicPr>
                      <a:picLocks noChangeArrowheads="1"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8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S8.</w:t>
      </w:r>
      <w:r>
        <w:t xml:space="preserve"> </w:t>
      </w:r>
      <w:r>
        <w:t xml:space="preserve">Cost against query size, 50,000 to 524,699 cells, with the reference fixed at</w:t>
      </w:r>
      <w:r>
        <w:t xml:space="preserve"> </w:t>
      </w:r>
      <w:r>
        <w:t xml:space="preserve">17,753 cells; every query in the main accuracy panel is smaller than the leftmost point here.</w:t>
      </w:r>
      <w:r>
        <w:t xml:space="preserve"> </w:t>
      </w:r>
      <w:r>
        <w:rPr>
          <w:i/>
          <w:iCs/>
        </w:rPr>
        <w:t xml:space="preserve">A:</w:t>
      </w:r>
      <w:r>
        <w:t xml:space="preserve"> </w:t>
      </w:r>
      <w:r>
        <w:t xml:space="preserve">wall-clock to annotate the query.</w:t>
      </w:r>
      <w:r>
        <w:t xml:space="preserve"> </w:t>
      </w:r>
      <w:r>
        <w:rPr>
          <w:i/>
          <w:iCs/>
        </w:rPr>
        <w:t xml:space="preserve">B:</w:t>
      </w:r>
      <w:r>
        <w:t xml:space="preserve"> </w:t>
      </w:r>
      <w:r>
        <w:t xml:space="preserve">throughput, which declines 21% for actinn-jax and</w:t>
      </w:r>
      <w:r>
        <w:t xml:space="preserve"> </w:t>
      </w:r>
      <w:r>
        <w:t xml:space="preserve">10% for the linear pipeline, narrowing the advantage from 2.4 times to 2.1.</w:t>
      </w:r>
      <w:r>
        <w:t xml:space="preserve"> </w:t>
      </w:r>
      <w:r>
        <w:rPr>
          <w:i/>
          <w:iCs/>
        </w:rPr>
        <w:t xml:space="preserve">C:</w:t>
      </w:r>
      <w:r>
        <w:t xml:space="preserve"> </w:t>
      </w:r>
      <w:r>
        <w:t xml:space="preserve">peak memory,</w:t>
      </w:r>
      <w:r>
        <w:t xml:space="preserve"> </w:t>
      </w:r>
      <w:r>
        <w:t xml:space="preserve">which does not distinguish them, since on this axis it measures holding the query rather than</w:t>
      </w:r>
      <w:r>
        <w:t xml:space="preserve"> </w:t>
      </w:r>
      <w:r>
        <w:t xml:space="preserve">running the method. Three runs per point on a shared laptop: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report the fastest run, since</w:t>
      </w:r>
      <w:r>
        <w:t xml:space="preserve"> </w:t>
      </w:r>
      <w:r>
        <w:t xml:space="preserve">contention can only add time, and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the largest peak, since resident-set size understates a</w:t>
      </w:r>
      <w:r>
        <w:t xml:space="preserve"> </w:t>
      </w:r>
      <w:r>
        <w:t xml:space="preserve">run the OS has partly evicted.</w:t>
      </w:r>
    </w:p>
    <w:bookmarkEnd w:id="361"/>
    <w:bookmarkStart w:id="368" w:name="abstention"/>
    <w:p>
      <w:pPr>
        <w:pStyle w:val="Heading1"/>
      </w:pPr>
      <w:r>
        <w:t xml:space="preserve">Abstention</w:t>
      </w:r>
    </w:p>
    <w:p>
      <w:pPr>
        <w:pStyle w:val="FirstParagraph"/>
      </w:pPr>
      <w:r>
        <w:drawing>
          <wp:inline>
            <wp:extent cx="5334000" cy="2684806"/>
            <wp:effectExtent b="0" l="0" r="0" t="0"/>
            <wp:docPr descr="what a threshold does to each method" title="" id="363" name="Picture"/>
            <a:graphic>
              <a:graphicData uri="http://schemas.openxmlformats.org/drawingml/2006/picture">
                <pic:pic>
                  <pic:nvPicPr>
                    <pic:cNvPr descr="/Users/iandriver/Downloads/actinn-jax-benchmark/docs/figures/fig_abstain_grid.png" id="364" name="Picture"/>
                    <pic:cNvPicPr>
                      <a:picLocks noChangeArrowheads="1" noChangeAspect="1"/>
                    </pic:cNvPicPr>
                  </pic:nvPicPr>
                  <pic:blipFill>
                    <a:blip r:embed="rId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4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S9.</w:t>
      </w:r>
      <w:r>
        <w:t xml:space="preserve"> </w:t>
      </w:r>
      <w:r>
        <w:t xml:space="preserve">What a confidence threshold does to each of the eight methods that return a</w:t>
      </w:r>
      <w:r>
        <w:t xml:space="preserve"> </w:t>
      </w:r>
      <w:r>
        <w:t xml:space="preserve">per-cell confidence, with native-head scArches and 9 of 36 cell types held out of the liver reference so 1,350 query</w:t>
      </w:r>
      <w:r>
        <w:t xml:space="preserve"> </w:t>
      </w:r>
      <w:r>
        <w:t xml:space="preserve">cells are out-of-distribution. Every quantity is a fraction, so all three share one axis. Five methods trade coverage for accuracy across the sweep. The other three have saturated</w:t>
      </w:r>
      <w:r>
        <w:t xml:space="preserve"> </w:t>
      </w:r>
      <w:r>
        <w:t xml:space="preserve">or differently scaled scores, so the tested thresholds provide few useful operating points.</w:t>
      </w:r>
    </w:p>
    <w:p>
      <w:pPr>
        <w:pStyle w:val="BodyText"/>
      </w:pPr>
      <w:r>
        <w:drawing>
          <wp:inline>
            <wp:extent cx="5334000" cy="2395249"/>
            <wp:effectExtent b="0" l="0" r="0" t="0"/>
            <wp:docPr descr="the abstain trade-off" title="" id="366" name="Picture"/>
            <a:graphic>
              <a:graphicData uri="http://schemas.openxmlformats.org/drawingml/2006/picture">
                <pic:pic>
                  <pic:nvPicPr>
                    <pic:cNvPr descr="/Users/iandriver/Downloads/actinn-jax-benchmark/docs/figures/fig_abstain.png" id="367" name="Picture"/>
                    <pic:cNvPicPr>
                      <a:picLocks noChangeArrowheads="1" noChangeAspect="1"/>
                    </pic:cNvPicPr>
                  </pic:nvPicPr>
                  <pic:blipFill>
                    <a:blip r:embed="rId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5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S10.</w:t>
      </w:r>
      <w:r>
        <w:t xml:space="preserve"> </w:t>
      </w:r>
      <w:r>
        <w:t xml:space="preserve">Accuracy and coverage from the same held-out-type threshold sweep. Left: accuracy on retained cells versus fraction retained. Right: fraction of held-out-type cells flagged. Different score scales mean that a common numerical threshold is not matched calibration. scArches uses the native-head setting. The curves show the cost of rejecting cells; no matched-coverage equivalence test was performed.</w:t>
      </w:r>
    </w:p>
    <w:bookmarkEnd w:id="368"/>
    <w:bookmarkStart w:id="372" w:name="per-split-accuracy-and-cost"/>
    <w:p>
      <w:pPr>
        <w:pStyle w:val="Heading1"/>
      </w:pPr>
      <w:r>
        <w:t xml:space="preserve">Per-split accuracy and cost</w:t>
      </w:r>
    </w:p>
    <w:p>
      <w:pPr>
        <w:pStyle w:val="FirstParagraph"/>
      </w:pPr>
      <w:r>
        <w:drawing>
          <wp:inline>
            <wp:extent cx="5334000" cy="2725166"/>
            <wp:effectExtent b="0" l="0" r="0" t="0"/>
            <wp:docPr descr="accuracy against cost on every split" title="" id="370" name="Picture"/>
            <a:graphic>
              <a:graphicData uri="http://schemas.openxmlformats.org/drawingml/2006/picture">
                <pic:pic>
                  <pic:nvPicPr>
                    <pic:cNvPr descr="/Users/iandriver/Downloads/actinn-jax-benchmark/docs/figures/fig_pareto_facets.png" id="371" name="Picture"/>
                    <pic:cNvPicPr>
                      <a:picLocks noChangeArrowheads="1" noChangeAspect="1"/>
                    </pic:cNvPicPr>
                  </pic:nvPicPr>
                  <pic:blipFill>
                    <a:blip r:embed="rId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5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S11.</w:t>
      </w:r>
      <w:r>
        <w:t xml:space="preserve"> </w:t>
      </w:r>
      <w:r>
        <w:t xml:space="preserve">The eleven-method data supporting Figure S14 without the gap-to-leader normalization: annotation agreement</w:t>
      </w:r>
      <w:r>
        <w:t xml:space="preserve"> </w:t>
      </w:r>
      <w:r>
        <w:t xml:space="preserve">against fit + predict time on each of the eight splits, error bars the range over three</w:t>
      </w:r>
      <w:r>
        <w:t xml:space="preserve"> </w:t>
      </w:r>
      <w:r>
        <w:t xml:space="preserve">repeats on both axes. Axis limits are per panel, so vertical position compares methods within</w:t>
      </w:r>
      <w:r>
        <w:t xml:space="preserve"> </w:t>
      </w:r>
      <w:r>
        <w:t xml:space="preserve">a split and not across them. Scores use exact accuracy on shared-vocabulary tasks and Cell Ontology concordance for</w:t>
      </w:r>
      <w:r>
        <w:t xml:space="preserve"> </w:t>
      </w:r>
      <w:r>
        <w:t xml:space="preserve">lung across datasets. Figure S14 includes only shared-vocabulary tasks. Most</w:t>
      </w:r>
      <w:r>
        <w:t xml:space="preserve"> </w:t>
      </w:r>
      <w:r>
        <w:t xml:space="preserve">error bars are invisible because most methods are deterministic given a fixed split; the ones</w:t>
      </w:r>
      <w:r>
        <w:t xml:space="preserve"> </w:t>
      </w:r>
      <w:r>
        <w:t xml:space="preserve">that show are scArches, SVM and scANVI, whose repeats differ by up to 0.024, 0.023 and 0.015.</w:t>
      </w:r>
      <w:r>
        <w:t xml:space="preserve"> </w:t>
      </w:r>
      <w:r>
        <w:t xml:space="preserve">† The lung cross-dataset panel uses Cell Ontology concordance (same term or ancestor–descendant relationship), rather than exact label accuracy.</w:t>
      </w:r>
    </w:p>
    <w:bookmarkEnd w:id="372"/>
    <w:bookmarkStart w:id="379" w:name="gene-budget-on-the-open-problems-panel"/>
    <w:p>
      <w:pPr>
        <w:pStyle w:val="Heading1"/>
      </w:pPr>
      <w:r>
        <w:t xml:space="preserve">Gene budget on the Open Problems panel</w:t>
      </w:r>
    </w:p>
    <w:p>
      <w:pPr>
        <w:pStyle w:val="FirstParagraph"/>
      </w:pPr>
      <w:r>
        <w:drawing>
          <wp:inline>
            <wp:extent cx="5334000" cy="2139510"/>
            <wp:effectExtent b="0" l="0" r="0" t="0"/>
            <wp:docPr descr="gene budget curve" title="" id="374" name="Picture"/>
            <a:graphic>
              <a:graphicData uri="http://schemas.openxmlformats.org/drawingml/2006/picture">
                <pic:pic>
                  <pic:nvPicPr>
                    <pic:cNvPr descr="/Users/iandriver/Downloads/actinn-jax-benchmark/docs/figures/gene_budget_curve.png" id="375" name="Picture"/>
                    <pic:cNvPicPr>
                      <a:picLocks noChangeArrowheads="1" noChangeAspect="1"/>
                    </pic:cNvPicPr>
                  </pic:nvPicPr>
                  <pic:blipFill>
                    <a:blip r:embed="rId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9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S12.</w:t>
      </w:r>
      <w:r>
        <w:t xml:space="preserve"> </w:t>
      </w:r>
      <w:r>
        <w:t xml:space="preserve">actinn-jax accuracy and macro-F1 against input gene budget across all six Open Problems</w:t>
      </w:r>
      <w:r>
        <w:t xml:space="preserve"> </w:t>
      </w:r>
      <w:r>
        <w:t xml:space="preserve">datasets. More genes help most datasets but regress the fine-grained,</w:t>
      </w:r>
      <w:r>
        <w:t xml:space="preserve"> </w:t>
      </w:r>
      <w:r>
        <w:t xml:space="preserve">domain-shifted tabula_sapiens.</w:t>
      </w:r>
    </w:p>
    <w:p>
      <w:pPr>
        <w:pStyle w:val="BodyText"/>
      </w:pPr>
      <w:r>
        <w:drawing>
          <wp:inline>
            <wp:extent cx="5334000" cy="2293972"/>
            <wp:effectExtent b="0" l="0" r="0" t="0"/>
            <wp:docPr descr="gene budget signals" title="" id="377" name="Picture"/>
            <a:graphic>
              <a:graphicData uri="http://schemas.openxmlformats.org/drawingml/2006/picture">
                <pic:pic>
                  <pic:nvPicPr>
                    <pic:cNvPr descr="/Users/iandriver/Downloads/actinn-jax-benchmark/docs/figures/gene_budget_signals.png" id="378" name="Picture"/>
                    <pic:cNvPicPr>
                      <a:picLocks noChangeArrowheads="1" noChangeAspect="1"/>
                    </pic:cNvPicPr>
                  </pic:nvPicPr>
                  <pic:blipFill>
                    <a:blip r:embed="rId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3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S13.</w:t>
      </w:r>
      <w:r>
        <w:t xml:space="preserve"> </w:t>
      </w:r>
      <w:r>
        <w:t xml:space="preserve">Label-free signals for setting the gene budget without test labels. Held-out</w:t>
      </w:r>
      <w:r>
        <w:t xml:space="preserve"> </w:t>
      </w:r>
      <w:r>
        <w:t xml:space="preserve">reference cross-validation and query-cells-per-class both single out tabula_sapiens, the one</w:t>
      </w:r>
      <w:r>
        <w:t xml:space="preserve"> </w:t>
      </w:r>
      <w:r>
        <w:t xml:space="preserve">dataset where more genes cost real accuracy, about 10 points. hypomap drifts down as well,</w:t>
      </w:r>
      <w:r>
        <w:t xml:space="preserve"> </w:t>
      </w:r>
      <w:r>
        <w:t xml:space="preserve">but from a saturated 0.998, and neither signal flags it.</w:t>
      </w:r>
    </w:p>
    <w:bookmarkEnd w:id="379"/>
    <w:bookmarkStart w:id="380" w:name="Xc2fb9cac71a2d4bca80411f924f3266cb4ee6d4"/>
    <w:p>
      <w:pPr>
        <w:pStyle w:val="Heading1"/>
      </w:pPr>
      <w:r>
        <w:t xml:space="preserve">Timing boundaries and statistical interpretation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fit stage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predict stage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 (s)</w:t>
            </w:r>
          </w:p>
        </w:tc>
        <w:tc>
          <w:tcPr/>
          <w:p>
            <w:pPr>
              <w:pStyle w:val="Compact"/>
            </w:pPr>
            <w:r>
              <w:t xml:space="preserve">predict-stage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linear-anova-pca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</w:t>
            </w:r>
          </w:p>
        </w:tc>
        <w:tc>
          <w:tcPr/>
          <w:p>
            <w:pPr>
              <w:pStyle w:val="Compact"/>
            </w:pPr>
            <w:r>
              <w:t xml:space="preserve">inference using fitted transforms and classifier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actinn-jax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10.54</w:t>
            </w:r>
          </w:p>
        </w:tc>
        <w:tc>
          <w:tcPr/>
          <w:p>
            <w:pPr>
              <w:pStyle w:val="Compact"/>
            </w:pPr>
            <w:r>
              <w:t xml:space="preserve">inference using fitted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scArches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49.8</w:t>
            </w:r>
          </w:p>
        </w:tc>
        <w:tc>
          <w:tcPr/>
          <w:p>
            <w:pPr>
              <w:pStyle w:val="Compact"/>
            </w:pPr>
            <w:r>
              <w:t xml:space="preserve">query adaptation followed by prediction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58.7</w:t>
            </w:r>
          </w:p>
        </w:tc>
        <w:tc>
          <w:tcPr/>
          <w:p>
            <w:pPr>
              <w:pStyle w:val="Compact"/>
            </w:pPr>
            <w:r>
              <w:t xml:space="preserve">reference-query training followed by prediction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S4.</w:t>
      </w:r>
      <w:r>
        <w:t xml:space="preserve"> </w:t>
      </w:r>
      <w:r>
        <w:t xml:space="preserve">Eleven-method panel using native-head scArches. Stage boundaries for the four highest mean accuracies in the five-split</w:t>
      </w:r>
      <w:r>
        <w:t xml:space="preserve"> </w:t>
      </w:r>
      <w:r>
        <w:t xml:space="preserve">non-brain aggregate. Values reproduce the main table; sums use its rounded stage values.</w:t>
      </w:r>
      <w:r>
        <w:t xml:space="preserve"> </w:t>
      </w:r>
      <w:r>
        <w:t xml:space="preserve">The sum measures a complete annotation job on this protocol. It excludes repeated use of</w:t>
      </w:r>
      <w:r>
        <w:t xml:space="preserve"> </w:t>
      </w:r>
      <w:r>
        <w:t xml:space="preserve">a previously fitted model. The approximately 250-fold ratio between scANVI’s and</w:t>
      </w:r>
      <w:r>
        <w:t xml:space="preserve"> </w:t>
      </w:r>
      <w:r>
        <w:t xml:space="preserve">actinn-jax’s predict-stage times compares training plus prediction with inference alone.</w:t>
      </w:r>
      <w:r>
        <w:t xml:space="preserve"> </w:t>
      </w:r>
      <w:r>
        <w:t xml:space="preserve">Both actinn-jax and the linear adapter reuse fitted components for later queries.</w:t>
      </w:r>
    </w:p>
    <w:p>
      <w:pPr>
        <w:pStyle w:val="BodyText"/>
      </w:pPr>
      <w:r>
        <w:t xml:space="preserve">Three repeats of each fixed partition characterize optimization and runtime variation.</w:t>
      </w:r>
      <w:r>
        <w:t xml:space="preserve"> </w:t>
      </w:r>
      <w:r>
        <w:t xml:space="preserve">They do not measure generalization across donors or studies and do not establish paired</w:t>
      </w:r>
      <w:r>
        <w:t xml:space="preserve"> </w:t>
      </w:r>
      <w:r>
        <w:t xml:space="preserve">accuracy equivalence. Cell-level binomial intervals in the atlas and hierarchy studies</w:t>
      </w:r>
      <w:r>
        <w:t xml:space="preserve"> </w:t>
      </w:r>
      <w:r>
        <w:t xml:space="preserve">omit within-donor dependence and training variation. The hierarchy control uses one random</w:t>
      </w:r>
      <w:r>
        <w:t xml:space="preserve"> </w:t>
      </w:r>
      <w:r>
        <w:t xml:space="preserve">grouping, and atlas accuracy sweeps change query composition alongside reference size.</w:t>
      </w:r>
    </w:p>
    <w:p>
      <w:pPr>
        <w:pStyle w:val="BodyText"/>
      </w:pPr>
      <w:r>
        <w:t xml:space="preserve">The full-study focused liver demonstration uses 56,545</w:t>
      </w:r>
      <w:r>
        <w:t xml:space="preserve"> </w:t>
      </w:r>
      <w:r>
        <w:rPr>
          <w:rStyle w:val="VerbatimChar"/>
        </w:rPr>
        <w:t xml:space="preserve">Andrews_2022</w:t>
      </w:r>
      <w:r>
        <w:t xml:space="preserve"> </w:t>
      </w:r>
      <w:r>
        <w:t xml:space="preserve">cells and a 38-type</w:t>
      </w:r>
      <w:r>
        <w:t xml:space="preserve"> </w:t>
      </w:r>
      <w:r>
        <w:t xml:space="preserve">validation reference trained on the other studies. It reports exact ontology-term match</w:t>
      </w:r>
      <w:r>
        <w:t xml:space="preserve"> </w:t>
      </w:r>
      <w:r>
        <w:t xml:space="preserve">(0.231 broad versus 0.728 focused) and lineage concordance (0.580 versus 0.858).</w:t>
      </w:r>
      <w:r>
        <w:t xml:space="preserve"> </w:t>
      </w:r>
      <w:r>
        <w:t xml:space="preserve">The main workflow figure instead uses 3,396 cells and a 36-type reference, at 0.338 broad</w:t>
      </w:r>
      <w:r>
        <w:t xml:space="preserve"> </w:t>
      </w:r>
      <w:r>
        <w:t xml:space="preserve">and 0.731 focused concordance. The distributed liver models use all studies; they are not</w:t>
      </w:r>
      <w:r>
        <w:t xml:space="preserve"> </w:t>
      </w:r>
      <w:r>
        <w:t xml:space="preserve">the held-out validation weights. Source-study exclusion from broad census corpora is not</w:t>
      </w:r>
      <w:r>
        <w:t xml:space="preserve"> </w:t>
      </w:r>
      <w:r>
        <w:t xml:space="preserve">established.</w:t>
      </w:r>
    </w:p>
    <w:p>
      <w:pPr>
        <w:pStyle w:val="BodyText"/>
      </w:pPr>
      <w:r>
        <w:t xml:space="preserve">The agreement analysis compares a census model with Pan-human Azimuth and a student</w:t>
      </w:r>
      <w:r>
        <w:t xml:space="preserve"> </w:t>
      </w:r>
      <w:r>
        <w:t xml:space="preserve">trained from Azimuth’s predictions. This dependence precludes treating the three models as</w:t>
      </w:r>
      <w:r>
        <w:t xml:space="preserve"> </w:t>
      </w:r>
      <w:r>
        <w:t xml:space="preserve">independent confirmations. Ontology concordance can credit overly broad or overly specific</w:t>
      </w:r>
      <w:r>
        <w:t xml:space="preserve"> </w:t>
      </w:r>
      <w:r>
        <w:t xml:space="preserve">predictions. Agreement should guide inspection, and low-confidence clusters require marker,</w:t>
      </w:r>
      <w:r>
        <w:t xml:space="preserve"> </w:t>
      </w:r>
      <w:r>
        <w:t xml:space="preserve">quality and study-level checks before they are interpreted as novel biology.</w:t>
      </w:r>
    </w:p>
    <w:bookmarkEnd w:id="380"/>
    <w:bookmarkStart w:id="382" w:name="relation-to-archmap"/>
    <w:p>
      <w:pPr>
        <w:pStyle w:val="Heading1"/>
      </w:pPr>
      <w:r>
        <w:t xml:space="preserve">Relation to ArchMap</w:t>
      </w:r>
    </w:p>
    <w:p>
      <w:pPr>
        <w:pStyle w:val="FirstParagraph"/>
      </w:pPr>
      <w:r>
        <w:t xml:space="preserve">ArchMap (Lotfollahi et al., Nature Genetics, 2026;</w:t>
      </w:r>
      <w:r>
        <w:t xml:space="preserve"> </w:t>
      </w:r>
      <w:hyperlink r:id="rId381">
        <w:r>
          <w:rPr>
            <w:rStyle w:val="Hyperlink"/>
          </w:rPr>
          <w:t xml:space="preserve">doi:10.1038/s41588-026-02756-y</w:t>
        </w:r>
      </w:hyperlink>
      <w:r>
        <w:t xml:space="preserve">) provides a</w:t>
      </w:r>
      <w:r>
        <w:t xml:space="preserve"> </w:t>
      </w:r>
      <w:r>
        <w:t xml:space="preserve">platform for atlas mapping, label transfer, uncertainty and reference-state inspection.</w:t>
      </w:r>
      <w:r>
        <w:t xml:space="preserve"> </w:t>
      </w:r>
      <w:r>
        <w:t xml:space="preserve">It supports custom atlases and local execution as well as the hosted application. Its</w:t>
      </w:r>
      <w:r>
        <w:t xml:space="preserve"> </w:t>
      </w:r>
      <w:r>
        <w:t xml:space="preserve">mapping protocol adapts queries using scArches and evaluates a joint embedding, whereas</w:t>
      </w:r>
      <w:r>
        <w:t xml:space="preserve"> </w:t>
      </w:r>
      <w:r>
        <w:t xml:space="preserve">this study primarily evaluates annotation labels and resource use. The benchmark’s</w:t>
      </w:r>
      <w:r>
        <w:t xml:space="preserve"> </w:t>
      </w:r>
      <w:r>
        <w:t xml:space="preserve">scArches adapter is not an evaluation of the ArchMap platform. We did not run a matched</w:t>
      </w:r>
      <w:r>
        <w:t xml:space="preserve"> </w:t>
      </w:r>
      <w:r>
        <w:t xml:space="preserve">end-to-end comparison and make no performance ranking between ArchMap and actinn-jax.</w:t>
      </w:r>
    </w:p>
    <w:bookmarkEnd w:id="382"/>
    <w:bookmarkStart w:id="383" w:name="scarches-configurations"/>
    <w:p>
      <w:pPr>
        <w:pStyle w:val="Heading1"/>
      </w:pPr>
      <w:r>
        <w:t xml:space="preserve">scArches configurations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 / CL concordance†, native / WKNN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macro-F1, native / WKNN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fit + predict (s), native / WKNN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PBMC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 / 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 / 0.930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24.3 / 81.8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Lung within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0.907 / 0.918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 / 0.926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77.0 / 270.4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Liver within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 / 0.809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 / 0.808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42.7 / 156.9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Blood/gut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0.877 / 0.886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0.877 / 0.886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88.3 / 264.5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Liver across studies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 / 0.673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 / 0.585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63.5 / 220.1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Brain subclasses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 / 0.992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 / 0.992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53.7 / 179.1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Brain clusters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0.819 / 0.860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0.817 / 0.860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95.3 / 562.7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Lung across datasets†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 / 0.761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189.9 / 875.1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S5.</w:t>
      </w:r>
      <w:r>
        <w:t xml:space="preserve"> </w:t>
      </w:r>
      <w:r>
        <w:t xml:space="preserve">scArches configurations (native classifier head / weighted nearest neighbors, WKNN) on identical inputs; means of three repeats. The native-head setting uses 40/20/40 reference-scVI/reference-scANVI/query epochs, default architecture and no batch covariate. The weighted-neighbor setting uses 200/100/100 epochs, the mapping architecture and batch handling described below. Time includes fit plus predict.</w:t>
      </w:r>
    </w:p>
    <w:p>
      <w:pPr>
        <w:pStyle w:val="BodyText"/>
      </w:pPr>
      <w:r>
        <w:t xml:space="preserve">† Lung across datasets uses Cell Ontology concordance (same term or ancestor–descendant relationship), not exact label accuracy. Macro-F1 is not reported for that row.</w:t>
      </w:r>
    </w:p>
    <w:p>
      <w:pPr>
        <w:pStyle w:val="BodyText"/>
      </w:pPr>
      <w:r>
        <w:t xml:space="preserve">scArches uses scANVI reference mapping, a 30-dimensional latent space, two hidden layers,</w:t>
      </w:r>
      <w:r>
        <w:t xml:space="preserve"> </w:t>
      </w:r>
      <w:r>
        <w:t xml:space="preserve">layer normalization and a batch covariate. Reference scVI and scANVI training use up to 200</w:t>
      </w:r>
      <w:r>
        <w:t xml:space="preserve"> </w:t>
      </w:r>
      <w:r>
        <w:t xml:space="preserve">and 100 epochs with early stopping, respectively. Query adaptation uses 100 fixed epochs;</w:t>
      </w:r>
      <w:r>
        <w:t xml:space="preserve"> </w:t>
      </w:r>
      <w:r>
        <w:t xml:space="preserve">labels are transferred by Gaussian-weighted voting among 15 reference neighbors. The</w:t>
      </w:r>
      <w:r>
        <w:t xml:space="preserve"> </w:t>
      </w:r>
      <w:r>
        <w:t xml:space="preserve">weighted-neighbor transfer and query-adaptation budget follow ArchMap [Lotfollahi et al. 2026]; reference training, atlas inputs and hardware are specific to this benchmark.</w:t>
      </w:r>
    </w:p>
    <w:p>
      <w:pPr>
        <w:pStyle w:val="BodyText"/>
      </w:pPr>
      <w:r>
        <w:t xml:space="preserve">Across seven shared-vocabulary splits, the weighted-neighbor configuration had 0.0173</w:t>
      </w:r>
      <w:r>
        <w:t xml:space="preserve"> </w:t>
      </w:r>
      <w:r>
        <w:t xml:space="preserve">higher mean accuracy and 0.0209 higher macro-F1 than the native-head configuration, with</w:t>
      </w:r>
      <w:r>
        <w:t xml:space="preserve"> </w:t>
      </w:r>
      <w:r>
        <w:t xml:space="preserve">3.0 to 5.9 times the complete-job time. The largest accuracy difference was at 151 brain</w:t>
      </w:r>
      <w:r>
        <w:t xml:space="preserve"> </w:t>
      </w:r>
      <w:r>
        <w:t xml:space="preserve">clusters (0.0414); the smallest was at 24 subclasses (0.0021). Label transfer, batch handling,</w:t>
      </w:r>
      <w:r>
        <w:t xml:space="preserve"> </w:t>
      </w:r>
      <w:r>
        <w:t xml:space="preserve">architecture and training budget differ jointly; this is a comparison of configurations,</w:t>
      </w:r>
      <w:r>
        <w:t xml:space="preserve"> </w:t>
      </w:r>
      <w:r>
        <w:t xml:space="preserve">not an ablation of individual settings.</w:t>
      </w:r>
    </w:p>
    <w:bookmarkEnd w:id="383"/>
    <w:bookmarkStart w:id="384" w:name="matched-annotation-cohorts"/>
    <w:p>
      <w:pPr>
        <w:pStyle w:val="Heading1"/>
      </w:pPr>
      <w:r>
        <w:t xml:space="preserve">Matched annotation cohorts</w:t>
      </w:r>
    </w:p>
    <w:p>
      <w:pPr>
        <w:pStyle w:val="FirstParagraph"/>
      </w:pPr>
      <w:r>
        <w:t xml:space="preserve">The three-method comparison comprises 72 scored runs with identical query cell IDs and</w:t>
      </w:r>
      <w:r>
        <w:t xml:space="preserve"> </w:t>
      </w:r>
      <w:r>
        <w:t xml:space="preserve">truth labels within each split. The native-head configuration contributes 24 additional</w:t>
      </w:r>
      <w:r>
        <w:t xml:space="preserve"> </w:t>
      </w:r>
      <w:r>
        <w:t xml:space="preserve">runs to Table S5. Repeats characterize training variation on fixed partitions.</w:t>
      </w:r>
    </w:p>
    <w:p>
      <w:pPr>
        <w:pStyle w:val="BodyText"/>
      </w:pPr>
      <w:r>
        <w:t xml:space="preserve">The eleven-method liver panel uses 36 labels; the matched panel uses 38. The blood/gut</w:t>
      </w:r>
      <w:r>
        <w:t xml:space="preserve"> </w:t>
      </w:r>
      <w:r>
        <w:t xml:space="preserve">panels have the same sample counts but different sampled cells. Brain panels have the</w:t>
      </w:r>
      <w:r>
        <w:t xml:space="preserve"> </w:t>
      </w:r>
      <w:r>
        <w:t xml:space="preserve">same split sizes, but their cell identities are not verified as identical. Consequently,</w:t>
      </w:r>
      <w:r>
        <w:t xml:space="preserve"> </w:t>
      </w:r>
      <w:r>
        <w:t xml:space="preserve">these panels support within-panel comparisons and do not support paired cross-panel</w:t>
      </w:r>
      <w:r>
        <w:t xml:space="preserve"> </w:t>
      </w:r>
      <w:r>
        <w:t xml:space="preserve">rankings, including a comparison of SingleR’s 0.845 with scArches’ 0.860 brain-cluster score.</w:t>
      </w:r>
    </w:p>
    <w:p>
      <w:pPr>
        <w:pStyle w:val="BodyText"/>
      </w:pPr>
      <w:r>
        <w:t xml:space="preserve">Lung cross-dataset transfer uses Cell Ontology concordance and is excluded from exact-label</w:t>
      </w:r>
      <w:r>
        <w:t xml:space="preserve"> </w:t>
      </w:r>
      <w:r>
        <w:t xml:space="preserve">accuracy and macro-F1 means. Results, predictions and manifests are provided</w:t>
      </w:r>
      <w:r>
        <w:t xml:space="preserve"> </w:t>
      </w:r>
      <w:r>
        <w:t xml:space="preserve">in the repository. Label accuracy does not evaluate ArchMap’s hosted service or integrated</w:t>
      </w:r>
      <w:r>
        <w:t xml:space="preserve"> </w:t>
      </w:r>
      <w:r>
        <w:t xml:space="preserve">embedding quality.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 / CL concordance†: scArches / linear / ACTINN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macro-F1: scArches / linear / ACTINN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 (s): scArches / linear / ACTINN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peak memory (MB): scArches / linear / ACTINN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PBMC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 / 0.913 / 0.913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 / 0.829 / 0.795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81.8 / 0.9 / 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854 / 1340 / 1078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Lung within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 / 0.898 / 0.894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0.926 / 0.904 / 0.901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270.4 / 3.7 / 16.1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1575 / 5045 / 2150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Liver within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0.809 / 0.817 / 0.794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0.808 / 0.815 / 0.790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156.9 / 1.9 / 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1391 / 3075 / 1757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Blood/gut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0.886 / 0.908 / 0.864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0.886 / 0.908 / 0.865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264.5 / 3.8 / 15.9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1803 / 5448 / 2692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Liver across studies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 / 0.692 / 0.676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 / 0.587 / 0.579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220.1 / 2.8 / 11.7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1478 / 3290 / 2431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Brain subclasses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 / 0.986 / 0.986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 / 0.986 / 0.986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179.1 / 2.6 / 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1685 / 3307 / 2138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Brain clusters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 / 0.816 / 0.741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 / 0.816 / 0.737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562.7 / 6.3 / 20.4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2714 / 7196 / 3857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Lung across datasets†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 / 0.743 / 0.752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875.1 / 7.7 / 24.9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2200 / 7895 / 3818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S6.</w:t>
      </w:r>
      <w:r>
        <w:t xml:space="preserve"> </w:t>
      </w:r>
      <w:r>
        <w:t xml:space="preserve">scArches, linear-anova-pca and ACTINN-JAX on the matched cohorts. Entries follow that order in every column. Means of three repeats; time includes fit plus predict, and memory is peak process MB.</w:t>
      </w:r>
    </w:p>
    <w:p>
      <w:pPr>
        <w:pStyle w:val="BodyText"/>
      </w:pPr>
      <w:r>
        <w:t xml:space="preserve">† Lung across datasets uses Cell Ontology concordance (same term or ancestor–descendant relationship), not exact label accuracy. Macro-F1 is not reported for that row.</w:t>
      </w:r>
    </w:p>
    <w:bookmarkEnd w:id="384"/>
    <w:bookmarkStart w:id="392" w:name="eleven-method-panel-overview"/>
    <w:p>
      <w:pPr>
        <w:pStyle w:val="Heading1"/>
      </w:pPr>
      <w:r>
        <w:t xml:space="preserve">Eleven-method panel overview</w:t>
      </w:r>
    </w:p>
    <w:p>
      <w:pPr>
        <w:pStyle w:val="FirstParagraph"/>
      </w:pPr>
      <w:r>
        <w:drawing>
          <wp:inline>
            <wp:extent cx="5334000" cy="2668748"/>
            <wp:effectExtent b="0" l="0" r="0" t="0"/>
            <wp:docPr descr="Eleven-method accuracy and cost ranges" title="" id="386" name="Picture"/>
            <a:graphic>
              <a:graphicData uri="http://schemas.openxmlformats.org/drawingml/2006/picture">
                <pic:pic>
                  <pic:nvPicPr>
                    <pic:cNvPr descr="/Users/iandriver/Downloads/actinn-jax-benchmark/docs/figures/fig_cost_accuracy_ranges.png" id="387" name="Picture"/>
                    <pic:cNvPicPr>
                      <a:picLocks noChangeArrowheads="1" noChangeAspect="1"/>
                    </pic:cNvPicPr>
                  </pic:nvPicPr>
                  <pic:blipFill>
                    <a:blip r:embed="rId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8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S14.</w:t>
      </w:r>
      <w:r>
        <w:t xml:space="preserve"> </w:t>
      </w:r>
      <w:r>
        <w:t xml:space="preserve">Eleven-method panel using native-head scArches. Accuracy is shown as the gap to the leading method on each split; time is fit plus predict. Points and ranges summarize different splits, not donor uncertainty. The weighted-neighbor scArches comparison uses separate cohorts (Table S6).</w:t>
      </w:r>
    </w:p>
    <w:bookmarkStart w:id="391" w:name="direct-local-annotation-comparison"/>
    <w:p>
      <w:pPr>
        <w:pStyle w:val="Heading2"/>
      </w:pPr>
      <w:r>
        <w:t xml:space="preserve">Direct local annotation comparison</w:t>
      </w:r>
    </w:p>
    <w:p>
      <w:pPr>
        <w:pStyle w:val="FirstParagraph"/>
      </w:pPr>
      <w:r>
        <w:t xml:space="preserve">We ran the local ArchMap HLCA annotation pipeline on 53,904 Duong lung nuclei using</w:t>
      </w:r>
      <w:r>
        <w:t xml:space="preserve"> </w:t>
      </w:r>
      <w:r>
        <w:t xml:space="preserve">its pretrained checkpoint and published KNN and XGBoost classifiers. Source manual</w:t>
      </w:r>
      <w:r>
        <w:t xml:space="preserve"> </w:t>
      </w:r>
      <w:r>
        <w:t xml:space="preserve">annotations mapped to Cell Ontology terms covered 52,401 cells (97.2%). Concordance</w:t>
      </w:r>
      <w:r>
        <w:t xml:space="preserve"> </w:t>
      </w:r>
      <w:r>
        <w:t xml:space="preserve">credits the same term or an ancestor–descendant relationship; it does not establish</w:t>
      </w:r>
      <w:r>
        <w:t xml:space="preserve"> </w:t>
      </w:r>
      <w:r>
        <w:t xml:space="preserve">fine subtype identity, including the distinction between general capillaries and aerocytes.</w:t>
      </w:r>
      <w:r>
        <w:t xml:space="preserve"> </w:t>
      </w:r>
      <w:r>
        <w:t xml:space="preserve">Across three seeds, full-coverage concordance was 0.847 for ArchMap KNN, 0.851 for</w:t>
      </w:r>
      <w:r>
        <w:t xml:space="preserve"> </w:t>
      </w:r>
      <w:r>
        <w:t xml:space="preserve">ArchMap XGBoost and 0.843 for ACTINN-JAX. At 90% retained coverage, concordance was</w:t>
      </w:r>
      <w:r>
        <w:t xml:space="preserve"> </w:t>
      </w:r>
      <w:r>
        <w:t xml:space="preserve">0.888, 0.885 and 0.896, respectively. Thus, relative performance depended on coverage.</w:t>
      </w:r>
      <w:r>
        <w:t xml:space="preserve"> </w:t>
      </w:r>
      <w:r>
        <w:t xml:space="preserve">Confidence ranking used no truth labels; each method retained its own subset of cells.</w:t>
      </w:r>
    </w:p>
    <w:p>
      <w:pPr>
        <w:pStyle w:val="BodyText"/>
      </w:pPr>
      <w:r>
        <w:t xml:space="preserve">Baselines used the same 584,944 reference cells and ann_level_5 target, with 1,992</w:t>
      </w:r>
      <w:r>
        <w:t xml:space="preserve"> </w:t>
      </w:r>
      <w:r>
        <w:t xml:space="preserve">measured genes shared with the 2,000-gene pretrained model. The linear baseline reached</w:t>
      </w:r>
      <w:r>
        <w:t xml:space="preserve"> </w:t>
      </w:r>
      <w:r>
        <w:t xml:space="preserve">0.768 concordance at full coverage after convergence. This gene budget differs from</w:t>
      </w:r>
      <w:r>
        <w:t xml:space="preserve"> </w:t>
      </w:r>
      <w:r>
        <w:t xml:space="preserve">our main linear benchmark. Duong has no supplied reference cell-ID or study overlap,</w:t>
      </w:r>
      <w:r>
        <w:t xml:space="preserve"> </w:t>
      </w:r>
      <w:r>
        <w:t xml:space="preserve">but was used for HLCA uncertainty-threshold calibration [Sikkema 2023]; it is not an</w:t>
      </w:r>
      <w:r>
        <w:t xml:space="preserve"> </w:t>
      </w:r>
      <w:r>
        <w:t xml:space="preserve">untouched external test. Resolved local software versions differ from the published</w:t>
      </w:r>
      <w:r>
        <w:t xml:space="preserve"> </w:t>
      </w:r>
      <w:r>
        <w:t xml:space="preserve">environment. These results evaluate annotation agreement, not integrated mapping quality.</w:t>
      </w:r>
    </w:p>
    <w:p>
      <w:pPr>
        <w:pStyle w:val="BodyText"/>
      </w:pPr>
      <w:r>
        <w:t xml:space="preserve">In this local pipeline, the KNN and XGBoost classifiers share weighted-neighbor</w:t>
      </w:r>
      <w:r>
        <w:t xml:space="preserve"> </w:t>
      </w:r>
      <w:r>
        <w:t xml:space="preserve">uncertainty and therefore have identical unknown fractions despite different predicted</w:t>
      </w:r>
      <w:r>
        <w:t xml:space="preserve"> </w:t>
      </w:r>
      <w:r>
        <w:t xml:space="preserve">labels. Unknown fraction alone cannot distinguish their annotation accuracy.</w:t>
      </w:r>
    </w:p>
    <w:p>
      <w:pPr>
        <w:pStyle w:val="BodyText"/>
      </w:pPr>
      <w:r>
        <w:drawing>
          <wp:inline>
            <wp:extent cx="5334000" cy="3583781"/>
            <wp:effectExtent b="0" l="0" r="0" t="0"/>
            <wp:docPr descr="Duong annotation agreement at equal coverage" title="" id="389" name="Picture"/>
            <a:graphic>
              <a:graphicData uri="http://schemas.openxmlformats.org/drawingml/2006/picture">
                <pic:pic>
                  <pic:nvPicPr>
                    <pic:cNvPr descr="/Users/iandriver/Downloads/actinn-jax-benchmark/docs/figures/fig_archmap_direct_coverage.png" id="390" name="Picture"/>
                    <pic:cNvPicPr>
                      <a:picLocks noChangeArrowheads="1" noChangeAspect="1"/>
                    </pic:cNvPicPr>
                  </pic:nvPicPr>
                  <pic:blipFill>
                    <a:blip r:embed="rId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3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S15.</w:t>
      </w:r>
      <w:r>
        <w:t xml:space="preserve"> </w:t>
      </w:r>
      <w:r>
        <w:t xml:space="preserve">Ontology concordance on the mapped Duong cohort as a function of retained</w:t>
      </w:r>
      <w:r>
        <w:t xml:space="preserve"> </w:t>
      </w:r>
      <w:r>
        <w:t xml:space="preserve">coverage. Confidence ranks are computed independently for each method; ties receive</w:t>
      </w:r>
      <w:r>
        <w:t xml:space="preserve"> </w:t>
      </w:r>
      <w:r>
        <w:t xml:space="preserve">fractional weights to match coverage exactly. Shading is the range of three seeded runs,</w:t>
      </w:r>
      <w:r>
        <w:t xml:space="preserve"> </w:t>
      </w:r>
      <w:r>
        <w:t xml:space="preserve">not a donor or study confidence interval. The linear configuration has one converged fit.</w:t>
      </w:r>
    </w:p>
    <w:bookmarkEnd w:id="391"/>
    <w:bookmarkEnd w:id="3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color w:val="000000"/>
      <w:sz w:val="56"/>
      <w:szCs w:val="56"/>
      <w:u w:val="none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000000"/>
      <w:sz w:val="40"/>
      <w:szCs w:val="40"/>
      <w:u w:val="none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0000"/>
      <w:sz w:val="32"/>
      <w:szCs w:val="32"/>
      <w:u w:val="none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0000"/>
      <w:sz w:val="28"/>
      <w:szCs w:val="28"/>
      <w:u w:val="none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00000"/>
      <w:u w:val="none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  <w:u w:val="none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val="000000"/>
      <w:u w:val="non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val="000000"/>
      <w:u w:val="non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val="000000"/>
      <w:u w:val="non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val="000000"/>
      <w:u w:val="non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00000"/>
      <w:sz w:val="40"/>
      <w:szCs w:val="40"/>
      <w:u w:val="none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000000"/>
      <w:sz w:val="32"/>
      <w:szCs w:val="32"/>
      <w:u w:val="none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  <w:u w:val="none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  <w:u w:val="none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  <w:u w:val="none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val="000000"/>
      <w:u w:val="non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val="000000"/>
      <w:u w:val="non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val="000000"/>
      <w:u w:val="non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val="000000"/>
      <w:u w:val="none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34" Target="numbering.xml" /><Relationship Type="http://schemas.openxmlformats.org/officeDocument/2006/relationships/styles" Id="rId333" Target="styles.xml" /><Relationship Type="http://schemas.openxmlformats.org/officeDocument/2006/relationships/settings" Id="rId332" Target="settings.xml" /><Relationship Type="http://schemas.openxmlformats.org/officeDocument/2006/relationships/webSettings" Id="rId331" Target="webSettings.xml" /><Relationship Type="http://schemas.openxmlformats.org/officeDocument/2006/relationships/fontTable" Id="rId330" Target="fontTable.xml" /><Relationship Type="http://schemas.openxmlformats.org/officeDocument/2006/relationships/theme" Id="rId329" Target="theme/theme1.xml" /><Relationship Type="http://schemas.openxmlformats.org/officeDocument/2006/relationships/footnotes" Id="rId328" Target="footnotes.xml" /><Relationship Type="http://schemas.openxmlformats.org/officeDocument/2006/relationships/comments" Id="rId327" Target="comments.xml" /><Relationship Id="rId39" Target="media/rId39.png" Type="http://schemas.openxmlformats.org/officeDocument/2006/relationships/image" /><Relationship Id="rId36" Target="media/rId36.png" Type="http://schemas.openxmlformats.org/officeDocument/2006/relationships/image" /><Relationship Id="rId26" Target="media/rId26.png" Type="http://schemas.openxmlformats.org/officeDocument/2006/relationships/image" /><Relationship Id="rId9" Target="media/rId9.png" Type="http://schemas.openxmlformats.org/officeDocument/2006/relationships/image" /><Relationship Id="rId43" Target="media/rId43.png" Type="http://schemas.openxmlformats.org/officeDocument/2006/relationships/image" /><Relationship Id="rId12" Target="media/rId12.png" Type="http://schemas.openxmlformats.org/officeDocument/2006/relationships/image" /><Relationship Id="rId21" Target="media/rId21.png" Type="http://schemas.openxmlformats.org/officeDocument/2006/relationships/image" /><Relationship Id="rId18" Target="media/rId18.png" Type="http://schemas.openxmlformats.org/officeDocument/2006/relationships/image" /><Relationship Id="rId15" Target="media/rId15.png" Type="http://schemas.openxmlformats.org/officeDocument/2006/relationships/image" /><Relationship Id="rId32" Target="media/rId32.png" Type="http://schemas.openxmlformats.org/officeDocument/2006/relationships/image" /><Relationship Id="rId29" Target="media/rId29.png" Type="http://schemas.openxmlformats.org/officeDocument/2006/relationships/image" /><Relationship Id="rId47" Target="media/rId47.png" Type="http://schemas.openxmlformats.org/officeDocument/2006/relationships/image" /><Relationship Id="rId50" Target="media/rId50.png" Type="http://schemas.openxmlformats.org/officeDocument/2006/relationships/image" /><Relationship Id="rId89" Target="media/rId89.png" Type="http://schemas.openxmlformats.org/officeDocument/2006/relationships/image" /><Relationship Id="rId86" Target="media/rId86.png" Type="http://schemas.openxmlformats.org/officeDocument/2006/relationships/image" /><Relationship Id="rId76" Target="media/rId76.png" Type="http://schemas.openxmlformats.org/officeDocument/2006/relationships/image" /><Relationship Id="rId59" Target="media/rId59.png" Type="http://schemas.openxmlformats.org/officeDocument/2006/relationships/image" /><Relationship Id="rId93" Target="media/rId93.png" Type="http://schemas.openxmlformats.org/officeDocument/2006/relationships/image" /><Relationship Id="rId62" Target="media/rId62.png" Type="http://schemas.openxmlformats.org/officeDocument/2006/relationships/image" /><Relationship Id="rId71" Target="media/rId71.png" Type="http://schemas.openxmlformats.org/officeDocument/2006/relationships/image" /><Relationship Id="rId68" Target="media/rId68.png" Type="http://schemas.openxmlformats.org/officeDocument/2006/relationships/image" /><Relationship Id="rId65" Target="media/rId65.png" Type="http://schemas.openxmlformats.org/officeDocument/2006/relationships/image" /><Relationship Id="rId82" Target="media/rId82.png" Type="http://schemas.openxmlformats.org/officeDocument/2006/relationships/image" /><Relationship Id="rId79" Target="media/rId79.png" Type="http://schemas.openxmlformats.org/officeDocument/2006/relationships/image" /><Relationship Id="rId97" Target="media/rId97.png" Type="http://schemas.openxmlformats.org/officeDocument/2006/relationships/image" /><Relationship Id="rId100" Target="media/rId100.png" Type="http://schemas.openxmlformats.org/officeDocument/2006/relationships/image" /><Relationship Id="rId139" Target="media/rId139.png" Type="http://schemas.openxmlformats.org/officeDocument/2006/relationships/image" /><Relationship Id="rId136" Target="media/rId136.png" Type="http://schemas.openxmlformats.org/officeDocument/2006/relationships/image" /><Relationship Id="rId126" Target="media/rId126.png" Type="http://schemas.openxmlformats.org/officeDocument/2006/relationships/image" /><Relationship Id="rId109" Target="media/rId109.png" Type="http://schemas.openxmlformats.org/officeDocument/2006/relationships/image" /><Relationship Id="rId143" Target="media/rId143.png" Type="http://schemas.openxmlformats.org/officeDocument/2006/relationships/image" /><Relationship Id="rId112" Target="media/rId112.png" Type="http://schemas.openxmlformats.org/officeDocument/2006/relationships/image" /><Relationship Id="rId121" Target="media/rId121.png" Type="http://schemas.openxmlformats.org/officeDocument/2006/relationships/image" /><Relationship Id="rId118" Target="media/rId118.png" Type="http://schemas.openxmlformats.org/officeDocument/2006/relationships/image" /><Relationship Id="rId115" Target="media/rId115.png" Type="http://schemas.openxmlformats.org/officeDocument/2006/relationships/image" /><Relationship Id="rId132" Target="media/rId132.png" Type="http://schemas.openxmlformats.org/officeDocument/2006/relationships/image" /><Relationship Id="rId129" Target="media/rId129.png" Type="http://schemas.openxmlformats.org/officeDocument/2006/relationships/image" /><Relationship Id="rId147" Target="media/rId147.png" Type="http://schemas.openxmlformats.org/officeDocument/2006/relationships/image" /><Relationship Id="rId150" Target="media/rId150.png" Type="http://schemas.openxmlformats.org/officeDocument/2006/relationships/image" /><Relationship Id="rId189" Target="media/rId189.png" Type="http://schemas.openxmlformats.org/officeDocument/2006/relationships/image" /><Relationship Id="rId186" Target="media/rId186.png" Type="http://schemas.openxmlformats.org/officeDocument/2006/relationships/image" /><Relationship Id="rId176" Target="media/rId176.png" Type="http://schemas.openxmlformats.org/officeDocument/2006/relationships/image" /><Relationship Id="rId159" Target="media/rId159.png" Type="http://schemas.openxmlformats.org/officeDocument/2006/relationships/image" /><Relationship Id="rId208" Target="media/rId208.png" Type="http://schemas.openxmlformats.org/officeDocument/2006/relationships/image" /><Relationship Id="rId193" Target="media/rId193.png" Type="http://schemas.openxmlformats.org/officeDocument/2006/relationships/image" /><Relationship Id="rId162" Target="media/rId162.png" Type="http://schemas.openxmlformats.org/officeDocument/2006/relationships/image" /><Relationship Id="rId171" Target="media/rId171.png" Type="http://schemas.openxmlformats.org/officeDocument/2006/relationships/image" /><Relationship Id="rId168" Target="media/rId168.png" Type="http://schemas.openxmlformats.org/officeDocument/2006/relationships/image" /><Relationship Id="rId165" Target="media/rId165.png" Type="http://schemas.openxmlformats.org/officeDocument/2006/relationships/image" /><Relationship Id="rId182" Target="media/rId182.png" Type="http://schemas.openxmlformats.org/officeDocument/2006/relationships/image" /><Relationship Id="rId179" Target="media/rId179.png" Type="http://schemas.openxmlformats.org/officeDocument/2006/relationships/image" /><Relationship Id="rId197" Target="media/rId197.png" Type="http://schemas.openxmlformats.org/officeDocument/2006/relationships/image" /><Relationship Id="rId200" Target="media/rId200.png" Type="http://schemas.openxmlformats.org/officeDocument/2006/relationships/image" /><Relationship Id="rId247" Target="media/rId247.png" Type="http://schemas.openxmlformats.org/officeDocument/2006/relationships/image" /><Relationship Id="rId244" Target="media/rId244.png" Type="http://schemas.openxmlformats.org/officeDocument/2006/relationships/image" /><Relationship Id="rId234" Target="media/rId234.png" Type="http://schemas.openxmlformats.org/officeDocument/2006/relationships/image" /><Relationship Id="rId217" Target="media/rId217.png" Type="http://schemas.openxmlformats.org/officeDocument/2006/relationships/image" /><Relationship Id="rId267" Target="media/rId267.png" Type="http://schemas.openxmlformats.org/officeDocument/2006/relationships/image" /><Relationship Id="rId251" Target="media/rId251.png" Type="http://schemas.openxmlformats.org/officeDocument/2006/relationships/image" /><Relationship Id="rId220" Target="media/rId220.png" Type="http://schemas.openxmlformats.org/officeDocument/2006/relationships/image" /><Relationship Id="rId229" Target="media/rId229.png" Type="http://schemas.openxmlformats.org/officeDocument/2006/relationships/image" /><Relationship Id="rId226" Target="media/rId226.png" Type="http://schemas.openxmlformats.org/officeDocument/2006/relationships/image" /><Relationship Id="rId223" Target="media/rId223.png" Type="http://schemas.openxmlformats.org/officeDocument/2006/relationships/image" /><Relationship Id="rId240" Target="media/rId240.png" Type="http://schemas.openxmlformats.org/officeDocument/2006/relationships/image" /><Relationship Id="rId237" Target="media/rId237.png" Type="http://schemas.openxmlformats.org/officeDocument/2006/relationships/image" /><Relationship Id="rId255" Target="media/rId255.png" Type="http://schemas.openxmlformats.org/officeDocument/2006/relationships/image" /><Relationship Id="rId258" Target="media/rId258.png" Type="http://schemas.openxmlformats.org/officeDocument/2006/relationships/image" /><Relationship Id="rId306" Target="media/rId306.png" Type="http://schemas.openxmlformats.org/officeDocument/2006/relationships/image" /><Relationship Id="rId303" Target="media/rId303.png" Type="http://schemas.openxmlformats.org/officeDocument/2006/relationships/image" /><Relationship Id="rId293" Target="media/rId293.png" Type="http://schemas.openxmlformats.org/officeDocument/2006/relationships/image" /><Relationship Id="rId276" Target="media/rId276.png" Type="http://schemas.openxmlformats.org/officeDocument/2006/relationships/image" /><Relationship Id="rId326" Target="media/rId326.png" Type="http://schemas.openxmlformats.org/officeDocument/2006/relationships/image" /><Relationship Id="rId310" Target="media/rId310.png" Type="http://schemas.openxmlformats.org/officeDocument/2006/relationships/image" /><Relationship Id="rId279" Target="media/rId279.png" Type="http://schemas.openxmlformats.org/officeDocument/2006/relationships/image" /><Relationship Id="rId288" Target="media/rId288.png" Type="http://schemas.openxmlformats.org/officeDocument/2006/relationships/image" /><Relationship Id="rId285" Target="media/rId285.png" Type="http://schemas.openxmlformats.org/officeDocument/2006/relationships/image" /><Relationship Id="rId282" Target="media/rId282.png" Type="http://schemas.openxmlformats.org/officeDocument/2006/relationships/image" /><Relationship Id="rId299" Target="media/rId299.png" Type="http://schemas.openxmlformats.org/officeDocument/2006/relationships/image" /><Relationship Id="rId296" Target="media/rId296.png" Type="http://schemas.openxmlformats.org/officeDocument/2006/relationships/image" /><Relationship Id="rId314" Target="media/rId314.png" Type="http://schemas.openxmlformats.org/officeDocument/2006/relationships/image" /><Relationship Id="rId317" Target="media/rId317.png" Type="http://schemas.openxmlformats.org/officeDocument/2006/relationships/image" /><Relationship Type="http://schemas.openxmlformats.org/officeDocument/2006/relationships/image" Id="rId365" Target="media/rId365.png" /><Relationship Type="http://schemas.openxmlformats.org/officeDocument/2006/relationships/image" Id="rId362" Target="media/rId362.png" /><Relationship Type="http://schemas.openxmlformats.org/officeDocument/2006/relationships/image" Id="rId388" Target="media/rId388.png" /><Relationship Type="http://schemas.openxmlformats.org/officeDocument/2006/relationships/image" Id="rId352" Target="media/rId352.png" /><Relationship Type="http://schemas.openxmlformats.org/officeDocument/2006/relationships/image" Id="rId335" Target="media/rId335.png" /><Relationship Type="http://schemas.openxmlformats.org/officeDocument/2006/relationships/image" Id="rId385" Target="media/rId385.png" /><Relationship Type="http://schemas.openxmlformats.org/officeDocument/2006/relationships/image" Id="rId369" Target="media/rId369.png" /><Relationship Type="http://schemas.openxmlformats.org/officeDocument/2006/relationships/image" Id="rId338" Target="media/rId338.png" /><Relationship Type="http://schemas.openxmlformats.org/officeDocument/2006/relationships/image" Id="rId347" Target="media/rId347.png" /><Relationship Type="http://schemas.openxmlformats.org/officeDocument/2006/relationships/image" Id="rId344" Target="media/rId344.png" /><Relationship Type="http://schemas.openxmlformats.org/officeDocument/2006/relationships/image" Id="rId341" Target="media/rId341.png" /><Relationship Type="http://schemas.openxmlformats.org/officeDocument/2006/relationships/image" Id="rId358" Target="media/rId358.png" /><Relationship Type="http://schemas.openxmlformats.org/officeDocument/2006/relationships/image" Id="rId355" Target="media/rId355.png" /><Relationship Type="http://schemas.openxmlformats.org/officeDocument/2006/relationships/image" Id="rId373" Target="media/rId373.png" /><Relationship Type="http://schemas.openxmlformats.org/officeDocument/2006/relationships/image" Id="rId376" Target="media/rId376.png" /><Relationship Type="http://schemas.openxmlformats.org/officeDocument/2006/relationships/hyperlink" Id="rId381" Target="https://doi.org/10.1038/s41588-026-02756-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1" Target="https://doi.org/10.1038/s41588-026-02756-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</dc:title>
  <dc:creator>Ian Driver</dc:creator>
  <cp:keywords/>
  <dcterms:created xsi:type="dcterms:W3CDTF">2026-10-05T02:22:39Z</dcterms:created>
  <dcterms:modified xsi:type="dcterms:W3CDTF">2026-10-05T02:22:39Z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