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one of the most repeated operations in single-cell analysis, yet comparisons report accuracy far more often than the time and memory that decide what a scientist can actually run. We benchmarked</w:t>
      </w:r>
      <w:r>
        <w:t xml:space="preserve"> </w:t>
      </w:r>
      <w:r>
        <w:rPr>
          <w:b/>
          <w:bCs/>
        </w:rPr>
        <w:t xml:space="preserve">thirteen methods</w:t>
      </w:r>
      <w:r>
        <w:t xml:space="preserve">, classical through foundation-model, across</w:t>
      </w:r>
      <w:r>
        <w:t xml:space="preserve"> </w:t>
      </w:r>
      <w:r>
        <w:rPr>
          <w:b/>
          <w:bCs/>
        </w:rPr>
        <w:t xml:space="preserve">eight splits of seven datasets</w:t>
      </w:r>
      <w:r>
        <w:t xml:space="preserve"> </w:t>
      </w:r>
      <w:r>
        <w:t xml:space="preserve">(8–151 cell types) on commodity hardware, and on Open Problems</w:t>
      </w:r>
      <w:r>
        <w:t xml:space="preserve"> </w:t>
      </w:r>
      <w:r>
        <w:rPr>
          <w:rStyle w:val="VerbatimChar"/>
        </w:rPr>
        <w:t xml:space="preserve">label_projection</w:t>
      </w:r>
      <w:r>
        <w:t xml:space="preserve">, whose datasets and metrics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w:t>
      </w:r>
      <w:r>
        <w:t xml:space="preserve"> </w:t>
      </w:r>
      <w:r>
        <w:rPr>
          <w:b/>
          <w:bCs/>
        </w:rPr>
        <w:t xml:space="preserve">actinn-jax</w:t>
      </w:r>
      <w:r>
        <w:t xml:space="preserve">, a JAX reimplementation of ACTINN whose cached reference maps a query in under a second, we show annotation becoming a</w:t>
      </w:r>
      <w:r>
        <w:t xml:space="preserve"> </w:t>
      </w:r>
      <w:r>
        <w:rPr>
          <w:b/>
          <w:bCs/>
        </w:rPr>
        <w:t xml:space="preserve">multi-pass workflow</w:t>
      </w:r>
      <w:r>
        <w:t xml:space="preserve"> </w:t>
      </w:r>
      <w:r>
        <w:t xml:space="preserve">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w:t>
      </w:r>
      <w:r>
        <w:t xml:space="preserve"> </w:t>
      </w:r>
      <w:r>
        <w:rPr>
          <w:i/>
          <w:iCs/>
        </w:rPr>
        <w:t xml:space="preserve">label</w:t>
      </w:r>
      <w:r>
        <w:t xml:space="preserve"> </w:t>
      </w:r>
      <w:r>
        <w:t xml:space="preserve">beats none of them: the value is knowing which calls to trust.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~205× and peak memory by 2.5×;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faster than a gene-space MLP on</w:t>
      </w:r>
      <w:r>
        <w:t xml:space="preserve"> </w:t>
      </w:r>
      <w:r>
        <w:t xml:space="preserve">one panel costs 2.7× more on another with a narrower feature budget.</w:t>
      </w:r>
    </w:p>
    <w:p>
      <w:pPr>
        <w:pStyle w:val="Compact"/>
        <w:numPr>
          <w:ilvl w:val="0"/>
          <w:numId w:val="1001"/>
        </w:numPr>
      </w:pPr>
      <w:r>
        <w:t xml:space="preserve">Predict is sub-second for every CPU method tested and flat in reference size for all of</w:t>
      </w:r>
      <w:r>
        <w:t xml:space="preserve"> </w:t>
      </w:r>
      <w:r>
        <w:t xml:space="preserve">them; what makes chaining stages practical is the ratio, a sub-second call recurring against</w:t>
      </w:r>
      <w:r>
        <w:t xml:space="preserve"> </w:t>
      </w:r>
      <w:r>
        <w:t xml:space="preserve">a fit of 19–123 s paid once.</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Agreement between independent broad references is a label-free confidence signal,</w:t>
      </w:r>
      <w:r>
        <w:t xml:space="preserve"> </w:t>
      </w:r>
      <w:r>
        <w:t xml:space="preserve">replicated on three tissues: where three references concur, every one of them is far more</w:t>
      </w:r>
      <w:r>
        <w:t xml:space="preserve"> </w:t>
      </w:r>
      <w:r>
        <w:t xml:space="preserve">accurate than where they disagree. How much of a query that covers varies from 23% to 94%</w:t>
      </w:r>
      <w:r>
        <w:t xml:space="preserve"> </w:t>
      </w:r>
      <w:r>
        <w:t xml:space="preserve">and tracks the resolution of the query’s own annotation. A consensus</w:t>
      </w:r>
      <w:r>
        <w:t xml:space="preserve"> </w:t>
      </w:r>
      <w:r>
        <w:rPr>
          <w:i/>
          <w:iCs/>
        </w:rPr>
        <w:t xml:space="preserve">label</w:t>
      </w:r>
      <w:r>
        <w:t xml:space="preserve"> </w:t>
      </w:r>
      <w:r>
        <w:t xml:space="preserve">beats the best</w:t>
      </w:r>
      <w:r>
        <w:t xml:space="preserve"> </w:t>
      </w:r>
      <w:r>
        <w:t xml:space="preserve">single reference in none of the three.</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That reporting gap matters more than a missing column, because annotation in practice is not</w:t>
      </w:r>
      <w:r>
        <w:t xml:space="preserve"> </w:t>
      </w:r>
      <w:r>
        <w:t xml:space="preserve">one decision. A working analysis asks what broad compartments are present, which tissue the</w:t>
      </w:r>
      <w:r>
        <w:t xml:space="preserve"> </w:t>
      </w:r>
      <w:r>
        <w:t xml:space="preserve">query resembles, how the cells resolve against a reference matched to that tissue, whether</w:t>
      </w:r>
      <w:r>
        <w:t xml:space="preserve"> </w:t>
      </w:r>
      <w:r>
        <w:t xml:space="preserve">anything is present that no reference describes, and how much of the answer to believe. Each</w:t>
      </w:r>
      <w:r>
        <w:t xml:space="preserve"> </w:t>
      </w:r>
      <w:r>
        <w:t xml:space="preserve">of those is a reference call. When a call costs minutes, the workflow collapses to a single</w:t>
      </w:r>
      <w:r>
        <w:t xml:space="preserve"> </w:t>
      </w:r>
      <w:r>
        <w:t xml:space="preserve">pass against a single reference chosen in advance; when it costs a fraction of a second,</w:t>
      </w:r>
      <w:r>
        <w:t xml:space="preserve"> </w:t>
      </w:r>
      <w:r>
        <w:t xml:space="preserve">running several references and comparing them becomes ordinary. The benchmark below is</w:t>
      </w:r>
      <w:r>
        <w:t xml:space="preserve"> </w:t>
      </w:r>
      <w:r>
        <w:t xml:space="preserve">therefore a means rather than an end: it establishes that the accuracy differences among the</w:t>
      </w:r>
      <w:r>
        <w:t xml:space="preserve"> </w:t>
      </w:r>
      <w:r>
        <w:t xml:space="preserve">leading methods are small and the cost differences are not, which is what licenses spending</w:t>
      </w:r>
      <w:r>
        <w:t xml:space="preserve"> </w:t>
      </w:r>
      <w:r>
        <w:t xml:space="preserve">the budget on more passes instead of on a better single pass.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eight splits of seven</w:t>
      </w:r>
      <w:r>
        <w:t xml:space="preserve"> </w:t>
      </w:r>
      <w:r>
        <w:t xml:space="preserve">datasets (Supplementary Table S2): lung within-dataset and cross-dataset, liver within-dataset</w:t>
      </w:r>
      <w:r>
        <w:t xml:space="preserve"> </w:t>
      </w:r>
      <w:r>
        <w:t xml:space="preserve">and cross-</w:t>
      </w:r>
      <w:r>
        <w:rPr>
          <w:b/>
          <w:bCs/>
        </w:rPr>
        <w:t xml:space="preserve">study</w:t>
      </w:r>
      <w:r>
        <w:t xml:space="preserve">, an 86-type blood+gut set, PBMC, and Allen middle temporal gyrus nuclei at</w:t>
      </w:r>
      <w:r>
        <w:t xml:space="preserve"> </w:t>
      </w:r>
      <w:r>
        <w:t xml:space="preserve">two levels of one taxonomy — 8 to 151 cell types, spanning three 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Agreement between references.</w:t>
      </w:r>
      <w:r>
        <w:t xml:space="preserve"> </w:t>
      </w:r>
      <w:r>
        <w:t xml:space="preserve">Three broad annotators answer in three different</w:t>
      </w:r>
      <w:r>
        <w:t xml:space="preserve"> </w:t>
      </w:r>
      <w:r>
        <w:t xml:space="preserve">vocabularies, so agreement is defined in the Cell Ontology, where all three map: two calls</w:t>
      </w:r>
      <w:r>
        <w:t xml:space="preserve"> </w:t>
      </w:r>
      <w:r>
        <w:t xml:space="preserve">agree when they are the same term or one is an ancestor of the other — the same relation the</w:t>
      </w:r>
      <w:r>
        <w:t xml:space="preserve"> </w:t>
      </w:r>
      <w:r>
        <w:t xml:space="preserve">concordance metric uses. Cells are partitioned by how many of the three mutually agree.</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cost is reported from the</w:t>
      </w:r>
      <w:r>
        <w:t xml:space="preserve"> </w:t>
      </w:r>
      <w:r>
        <w:t xml:space="preserve">fastest of three runs on an otherwise idle machine, and external cost as a ratio to a method</w:t>
      </w:r>
      <w:r>
        <w:t xml:space="preserve"> </w:t>
      </w:r>
      <w:r>
        <w:t xml:space="preserve">present in every run. Environments are pinned and the Cell Ontology release is recorded.</w:t>
      </w:r>
    </w:p>
    <w:p>
      <w:pPr>
        <w:pStyle w:val="BodyText"/>
      </w:pPr>
      <w:r>
        <w:rPr>
          <w:b/>
          <w:bCs/>
        </w:rPr>
        <w:t xml:space="preserve">Supplementary material</w:t>
      </w:r>
      <w:r>
        <w:t xml:space="preserve"> </w:t>
      </w:r>
      <w:r>
        <w:t xml:space="preserve">(separate document) carries the scaling studies (Figures S5–S7),</w:t>
      </w:r>
      <w:r>
        <w:t xml:space="preserve"> </w:t>
      </w:r>
      <w:r>
        <w:t xml:space="preserve">the abstention sweep (Figures S8–S9), confusion matrices and per-class recall (Figures S1–S4),</w:t>
      </w:r>
      <w:r>
        <w:t xml:space="preserve"> </w:t>
      </w:r>
      <w:r>
        <w:t xml:space="preserve">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differ by</w:t>
      </w:r>
      <w:r>
        <w:t xml:space="preserve"> </w:t>
      </w:r>
      <w:r>
        <w:rPr>
          <w:b/>
          <w:bCs/>
        </w:rPr>
        <w:t xml:space="preserve">~205× in predict</w:t>
      </w:r>
      <w:r>
        <w:rPr>
          <w:b/>
          <w:bCs/>
        </w:rPr>
        <w:t xml:space="preserve"> </w:t>
      </w:r>
      <w:r>
        <w:rPr>
          <w:b/>
          <w:bCs/>
        </w:rPr>
        <w:t xml:space="preserve">time</w:t>
      </w:r>
      <w:r>
        <w:t xml:space="preserve"> </w:t>
      </w:r>
      <w:r>
        <w:t xml:space="preserve">(0.33 s to 67 s) and</w:t>
      </w:r>
      <w:r>
        <w:t xml:space="preserve"> </w:t>
      </w:r>
      <w:r>
        <w:rPr>
          <w:b/>
          <w:bCs/>
        </w:rPr>
        <w:t xml:space="preserve">2.5× in peak memory</w:t>
      </w:r>
      <w:r>
        <w:t xml:space="preserve">. Order within the cluster is not a result:</w:t>
      </w:r>
      <w:r>
        <w:t xml:space="preserve"> </w:t>
      </w:r>
      <w:r>
        <w:t xml:space="preserve">the stochastic methods move by more than 0.008 between identical reruns, scANVI by up to</w:t>
      </w:r>
      <w:r>
        <w:t xml:space="preserve"> </w:t>
      </w:r>
      <w:r>
        <w:t xml:space="preserve">0.056, so the four are best read as tied on accuracy and separated by cost. actinn-jax holds</w:t>
      </w:r>
      <w:r>
        <w:t xml:space="preserve"> </w:t>
      </w:r>
      <w:r>
        <w:t xml:space="preserve">the best ontology-aware concordance (0.811), likewise a margin inside repeat noise.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3.4</w:t>
            </w:r>
          </w:p>
        </w:tc>
        <w:tc>
          <w:tcPr/>
          <w:p>
            <w:pPr>
              <w:pStyle w:val="Compact"/>
              <w:jc w:val="right"/>
            </w:pPr>
            <w:r>
              <w:rPr>
                <w:b/>
                <w:bCs/>
              </w:rPr>
              <w:t xml:space="preserve">0.33</w:t>
            </w:r>
          </w:p>
        </w:tc>
        <w:tc>
          <w:tcPr/>
          <w:p>
            <w:pPr>
              <w:pStyle w:val="Compact"/>
              <w:jc w:val="right"/>
            </w:pPr>
            <w:r>
              <w:t xml:space="preserve">4386</w:t>
            </w:r>
          </w:p>
        </w:tc>
      </w:tr>
      <w:tr>
        <w:tc>
          <w:tcPr/>
          <w:p>
            <w:pPr>
              <w:pStyle w:val="Compact"/>
            </w:pPr>
            <w:r>
              <w:t xml:space="preserve">scArches</w:t>
            </w:r>
          </w:p>
        </w:tc>
        <w:tc>
          <w:tcPr/>
          <w:p>
            <w:pPr>
              <w:pStyle w:val="Compact"/>
              <w:jc w:val="right"/>
            </w:pPr>
            <w:r>
              <w:t xml:space="preserve">0.833</w:t>
            </w:r>
          </w:p>
        </w:tc>
        <w:tc>
          <w:tcPr/>
          <w:p>
            <w:pPr>
              <w:pStyle w:val="Compact"/>
              <w:jc w:val="right"/>
            </w:pPr>
            <w:r>
              <w:rPr>
                <w:b/>
                <w:bCs/>
              </w:rPr>
              <w:t xml:space="preserve">0.701</w:t>
            </w:r>
          </w:p>
        </w:tc>
        <w:tc>
          <w:tcPr/>
          <w:p>
            <w:pPr>
              <w:pStyle w:val="Compact"/>
              <w:jc w:val="right"/>
            </w:pPr>
            <w:r>
              <w:t xml:space="preserve">0.804</w:t>
            </w:r>
          </w:p>
        </w:tc>
        <w:tc>
          <w:tcPr/>
          <w:p>
            <w:pPr>
              <w:pStyle w:val="Compact"/>
              <w:jc w:val="right"/>
            </w:pPr>
            <w:r>
              <w:t xml:space="preserve">48.7</w:t>
            </w:r>
          </w:p>
        </w:tc>
        <w:tc>
          <w:tcPr/>
          <w:p>
            <w:pPr>
              <w:pStyle w:val="Compact"/>
              <w:jc w:val="right"/>
            </w:pPr>
            <w:r>
              <w:t xml:space="preserve">17.2</w:t>
            </w:r>
          </w:p>
        </w:tc>
        <w:tc>
          <w:tcPr/>
          <w:p>
            <w:pPr>
              <w:pStyle w:val="Compact"/>
              <w:jc w:val="right"/>
            </w:pPr>
            <w:r>
              <w:t xml:space="preserve">1773</w:t>
            </w:r>
          </w:p>
        </w:tc>
      </w:tr>
      <w:tr>
        <w:tc>
          <w:tcPr/>
          <w:p>
            <w:pPr>
              <w:pStyle w:val="Compact"/>
            </w:pPr>
            <w:r>
              <w:t xml:space="preserve">scANVI</w:t>
            </w:r>
          </w:p>
        </w:tc>
        <w:tc>
          <w:tcPr/>
          <w:p>
            <w:pPr>
              <w:pStyle w:val="Compact"/>
              <w:jc w:val="right"/>
            </w:pPr>
            <w:r>
              <w:t xml:space="preserve">0.832</w:t>
            </w:r>
          </w:p>
        </w:tc>
        <w:tc>
          <w:tcPr/>
          <w:p>
            <w:pPr>
              <w:pStyle w:val="Compact"/>
              <w:jc w:val="right"/>
            </w:pPr>
            <w:r>
              <w:t xml:space="preserve">0.698</w:t>
            </w:r>
          </w:p>
        </w:tc>
        <w:tc>
          <w:tcPr/>
          <w:p>
            <w:pPr>
              <w:pStyle w:val="Compact"/>
              <w:jc w:val="right"/>
            </w:pPr>
            <w:r>
              <w:t xml:space="preserve">0.808</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2087</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24.2</w:t>
            </w:r>
          </w:p>
        </w:tc>
        <w:tc>
          <w:tcPr/>
          <w:p>
            <w:pPr>
              <w:pStyle w:val="Compact"/>
              <w:jc w:val="right"/>
            </w:pPr>
            <w:r>
              <w:rPr>
                <w:b/>
                <w:bCs/>
              </w:rPr>
              <w:t xml:space="preserve">0.54</w:t>
            </w:r>
          </w:p>
        </w:tc>
        <w:tc>
          <w:tcPr/>
          <w:p>
            <w:pPr>
              <w:pStyle w:val="Compact"/>
              <w:jc w:val="right"/>
            </w:pPr>
            <w:r>
              <w:t xml:space="preserve">2391</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0.690</w:t>
            </w:r>
          </w:p>
        </w:tc>
        <w:tc>
          <w:tcPr/>
          <w:p>
            <w:pPr>
              <w:pStyle w:val="Compact"/>
              <w:jc w:val="right"/>
            </w:pPr>
            <w:r>
              <w:t xml:space="preserve">0.805</w:t>
            </w:r>
          </w:p>
        </w:tc>
        <w:tc>
          <w:tcPr/>
          <w:p>
            <w:pPr>
              <w:pStyle w:val="Compact"/>
              <w:jc w:val="right"/>
            </w:pPr>
            <w:r>
              <w:t xml:space="preserve">54.4</w:t>
            </w:r>
          </w:p>
        </w:tc>
        <w:tc>
          <w:tcPr/>
          <w:p>
            <w:pPr>
              <w:pStyle w:val="Compact"/>
              <w:jc w:val="right"/>
            </w:pPr>
            <w:r>
              <w:rPr>
                <w:b/>
                <w:bCs/>
              </w:rPr>
              <w:t xml:space="preserve">0.61</w:t>
            </w:r>
          </w:p>
        </w:tc>
        <w:tc>
          <w:tcPr/>
          <w:p>
            <w:pPr>
              <w:pStyle w:val="Compact"/>
              <w:jc w:val="right"/>
            </w:pPr>
            <w:r>
              <w:t xml:space="preserve">1569</w:t>
            </w:r>
          </w:p>
        </w:tc>
      </w:tr>
      <w:tr>
        <w:tc>
          <w:tcPr/>
          <w:p>
            <w:pPr>
              <w:pStyle w:val="Compact"/>
            </w:pPr>
            <w:r>
              <w:t xml:space="preserve">SVM</w:t>
            </w:r>
          </w:p>
        </w:tc>
        <w:tc>
          <w:tcPr/>
          <w:p>
            <w:pPr>
              <w:pStyle w:val="Compact"/>
              <w:jc w:val="right"/>
            </w:pPr>
            <w:r>
              <w:t xml:space="preserve">0.808</w:t>
            </w:r>
          </w:p>
        </w:tc>
        <w:tc>
          <w:tcPr/>
          <w:p>
            <w:pPr>
              <w:pStyle w:val="Compact"/>
              <w:jc w:val="right"/>
            </w:pPr>
            <w:r>
              <w:t xml:space="preserve">0.675</w:t>
            </w:r>
          </w:p>
        </w:tc>
        <w:tc>
          <w:tcPr/>
          <w:p>
            <w:pPr>
              <w:pStyle w:val="Compact"/>
              <w:jc w:val="right"/>
            </w:pPr>
            <w:r>
              <w:t xml:space="preserve">0.796</w:t>
            </w:r>
          </w:p>
        </w:tc>
        <w:tc>
          <w:tcPr/>
          <w:p>
            <w:pPr>
              <w:pStyle w:val="Compact"/>
              <w:jc w:val="right"/>
            </w:pPr>
            <w:r>
              <w:t xml:space="preserve">55.2</w:t>
            </w:r>
          </w:p>
        </w:tc>
        <w:tc>
          <w:tcPr/>
          <w:p>
            <w:pPr>
              <w:pStyle w:val="Compact"/>
              <w:jc w:val="right"/>
            </w:pPr>
            <w:r>
              <w:rPr>
                <w:b/>
                <w:bCs/>
              </w:rPr>
              <w:t xml:space="preserve">0.07</w:t>
            </w:r>
          </w:p>
        </w:tc>
        <w:tc>
          <w:tcPr/>
          <w:p>
            <w:pPr>
              <w:pStyle w:val="Compact"/>
              <w:jc w:val="right"/>
            </w:pPr>
            <w:r>
              <w:t xml:space="preserve">1419</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221.5</w:t>
            </w:r>
          </w:p>
        </w:tc>
        <w:tc>
          <w:tcPr/>
          <w:p>
            <w:pPr>
              <w:pStyle w:val="Compact"/>
              <w:jc w:val="right"/>
            </w:pPr>
            <w:r>
              <w:t xml:space="preserve">2.07</w:t>
            </w:r>
          </w:p>
        </w:tc>
        <w:tc>
          <w:tcPr/>
          <w:p>
            <w:pPr>
              <w:pStyle w:val="Compact"/>
              <w:jc w:val="right"/>
            </w:pPr>
            <w:r>
              <w:t xml:space="preserve">1907</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48.2</w:t>
            </w:r>
          </w:p>
        </w:tc>
        <w:tc>
          <w:tcPr/>
          <w:p>
            <w:pPr>
              <w:pStyle w:val="Compact"/>
              <w:jc w:val="right"/>
            </w:pPr>
            <w:r>
              <w:t xml:space="preserve">3612</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0.768</w:t>
            </w:r>
          </w:p>
        </w:tc>
        <w:tc>
          <w:tcPr/>
          <w:p>
            <w:pPr>
              <w:pStyle w:val="Compact"/>
              <w:jc w:val="right"/>
            </w:pPr>
            <w:r>
              <w:t xml:space="preserve">0.4</w:t>
            </w:r>
          </w:p>
        </w:tc>
        <w:tc>
          <w:tcPr/>
          <w:p>
            <w:pPr>
              <w:pStyle w:val="Compact"/>
              <w:jc w:val="right"/>
            </w:pPr>
            <w:r>
              <w:rPr>
                <w:b/>
                <w:bCs/>
              </w:rPr>
              <w:t xml:space="preserve">0.19</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1.21</w:t>
            </w:r>
          </w:p>
        </w:tc>
        <w:tc>
          <w:tcPr/>
          <w:p>
            <w:pPr>
              <w:pStyle w:val="Compact"/>
              <w:jc w:val="right"/>
            </w:pPr>
            <w:r>
              <w:t xml:space="preserve">1926</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0.3</w:t>
            </w:r>
          </w:p>
        </w:tc>
        <w:tc>
          <w:tcPr/>
          <w:p>
            <w:pPr>
              <w:pStyle w:val="Compact"/>
              <w:jc w:val="right"/>
            </w:pPr>
            <w:r>
              <w:t xml:space="preserve">9.30</w:t>
            </w:r>
          </w:p>
        </w:tc>
        <w:tc>
          <w:tcPr/>
          <w:p>
            <w:pPr>
              <w:pStyle w:val="Compact"/>
              <w:jc w:val="right"/>
            </w:pPr>
            <w:r>
              <w:t xml:space="preserve">8609</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The two brain splits are held out of</w:t>
      </w:r>
      <w:r>
        <w:t xml:space="preserve"> </w:t>
      </w:r>
      <w:r>
        <w:t xml:space="preserve">these means — they were measured after this pass — and reported per dataset instead;</w:t>
      </w:r>
      <w:r>
        <w:t xml:space="preserve"> </w:t>
      </w:r>
      <w:r>
        <w:t xml:space="preserve">including both would move actinn-jax from fourth to fifth, behind CellTypist. *scANVI does most of its work in one train+predict pass, attributed to predict.</w:t>
      </w:r>
      <w:r>
        <w:t xml:space="preserve"> </w:t>
      </w:r>
      <w:r>
        <w:t xml:space="preserve">Per-dataset scores: Supplementary Table S3.</w:t>
      </w:r>
    </w:p>
    <w:p>
      <w:pPr>
        <w:pStyle w:val="BodyText"/>
      </w:pPr>
      <w:r>
        <w:t xml:space="preserve">Neither ordering is stable. Carrying four methods from a 3k-cell reference to a full atlas</w:t>
      </w:r>
      <w:r>
        <w:t xml:space="preserve"> </w:t>
      </w:r>
      <w:r>
        <w:t xml:space="preserve">reverses the accuracy ranking — a prototype VAE moves from worst to best — and the external</w:t>
      </w:r>
      <w:r>
        <w:t xml:space="preserve"> </w:t>
      </w:r>
      <w:r>
        <w:t xml:space="preserve">Open Problems panel, whose 1,000-gene budget is narrower than ours, reverses the cost ranking,</w:t>
      </w:r>
      <w:r>
        <w:t xml:space="preserve"> </w:t>
      </w:r>
      <w:r>
        <w:t xml:space="preserve">with the tuned linear pipeline costing 2.7× more than it does here (Supplementary Figure S6,</w:t>
      </w:r>
      <w:r>
        <w:t xml:space="preserve"> </w:t>
      </w:r>
      <w:r>
        <w:t xml:space="preserve">and the extended report).</w:t>
      </w:r>
    </w:p>
    <w:p>
      <w:pPr>
        <w:pStyle w:val="BodyText"/>
      </w:pPr>
      <w:r>
        <w:t xml:space="preserve">Granularity moves it too, and against us. The same Allen middle temporal gyrus nuclei scored at</w:t>
      </w:r>
      <w:r>
        <w:t xml:space="preserve"> </w:t>
      </w:r>
      <w:r>
        <w:t xml:space="preserve">two levels of one taxonomy behave like two different benchmarks: at Allen’s 24 subclasses ten</w:t>
      </w:r>
      <w:r>
        <w:t xml:space="preserve"> </w:t>
      </w:r>
      <w:r>
        <w:t xml:space="preserve">of the eleven methods land within 0.017 of each other, and at the 151 cell sets the taxonomy</w:t>
      </w:r>
      <w:r>
        <w:t xml:space="preserve"> </w:t>
      </w:r>
      <w:r>
        <w:t xml:space="preserve">enumerates the ranking inverts — SingleR, eighth overall, leads at</w:t>
      </w:r>
      <w:r>
        <w:t xml:space="preserve"> </w:t>
      </w:r>
      <w:r>
        <w:rPr>
          <w:b/>
          <w:bCs/>
        </w:rPr>
        <w:t xml:space="preserve">0.845</w:t>
      </w:r>
      <w:r>
        <w:t xml:space="preserve">, while actinn-jax</w:t>
      </w:r>
      <w:r>
        <w:t xml:space="preserve"> </w:t>
      </w:r>
      <w:r>
        <w:t xml:space="preserve">falls to tenth at</w:t>
      </w:r>
      <w:r>
        <w:t xml:space="preserve"> </w:t>
      </w:r>
      <w:r>
        <w:rPr>
          <w:b/>
          <w:bCs/>
        </w:rPr>
        <w:t xml:space="preserve">0.741</w:t>
      </w:r>
      <w:r>
        <w:t xml:space="preserve">. Correlation-to-centroid methods gain exactly where the trained</w:t>
      </w:r>
      <w:r>
        <w:t xml:space="preserve"> </w:t>
      </w:r>
      <w:r>
        <w:t xml:space="preserve">classifiers lose, helped by the fact that cluster-level labels are themselves the output of</w:t>
      </w:r>
      <w:r>
        <w:t xml:space="preserve"> </w:t>
      </w:r>
      <w:r>
        <w:t xml:space="preserve">clustering the same expression space. One split is a signal, not a characterization, but it is</w:t>
      </w:r>
      <w:r>
        <w:t xml:space="preserve"> </w:t>
      </w:r>
      <w:r>
        <w:t xml:space="preserve">the one split in this panel at the resolution a cortical taxonomy actually works at.</w:t>
      </w:r>
    </w:p>
    <w:p>
      <w:pPr>
        <w:pStyle w:val="BodyText"/>
      </w:pPr>
      <w:r>
        <w:t xml:space="preserve">Prediction is where the annotation budget is actually spent, and it is small: sub-second for</w:t>
      </w:r>
      <w:r>
        <w:t xml:space="preserve"> </w:t>
      </w:r>
      <w:r>
        <w:t xml:space="preserve">every CPU method tested, and flat in reference size for all of them, since a cached model’s</w:t>
      </w:r>
      <w:r>
        <w:t xml:space="preserve"> </w:t>
      </w:r>
      <w:r>
        <w:t xml:space="preserve">inference does not depend on how many cells trained it. What makes chaining stages practical</w:t>
      </w:r>
      <w:r>
        <w:t xml:space="preserve"> </w:t>
      </w:r>
      <w:r>
        <w:t xml:space="preserve">is therefore not a uniquely flat predict but the ratio — a sub-second call recurring against a</w:t>
      </w:r>
      <w:r>
        <w:t xml:space="preserve"> </w:t>
      </w:r>
      <w:r>
        <w:t xml:space="preserve">fit of 19–123 s that is paid once (Supplementary Figure S7). With the reference held fixed,</w:t>
      </w:r>
      <w:r>
        <w:t xml:space="preserve"> </w:t>
      </w:r>
      <w:r>
        <w:t xml:space="preserve">annotating a whole 525,000-cell atlas takes</w:t>
      </w:r>
      <w:r>
        <w:t xml:space="preserve"> </w:t>
      </w:r>
      <w:r>
        <w:rPr>
          <w:b/>
          <w:bCs/>
        </w:rPr>
        <w:t xml:space="preserve">41 s</w:t>
      </w:r>
      <w:r>
        <w:t xml:space="preserve"> </w:t>
      </w:r>
      <w:r>
        <w:t xml:space="preserve">(Supplementary Figure S8).</w:t>
      </w:r>
    </w:p>
    <w:bookmarkEnd w:id="16"/>
    <w:bookmarkStart w:id="20" w:name="X80fed2e78f71a1f8f859e9647ae1a67fdba3c16"/>
    <w:p>
      <w:pPr>
        <w:pStyle w:val="Heading2"/>
      </w:pPr>
      <w:r>
        <w:t xml:space="preserve">One query, two passes: routing and then resolution</w:t>
      </w:r>
    </w:p>
    <w:p>
      <w:pPr>
        <w:pStyle w:val="FirstParagraph"/>
      </w:pPr>
      <w:r>
        <w:t xml:space="preserve">That budget buys a workflow rather than a call (Figure 1). A shipped ~800-type census</w:t>
      </w:r>
      <w:r>
        <w:t xml:space="preserve"> </w:t>
      </w:r>
      <w:r>
        <w:t xml:space="preserve">reference annotates any query without being told what tissue it is; resolving those calls</w:t>
      </w:r>
      <w:r>
        <w:t xml:space="preserve"> </w:t>
      </w:r>
      <w:r>
        <w:t xml:space="preserve">through the reference’s per-class tissue map identifies the tissue; a small focused reference</w:t>
      </w:r>
      <w:r>
        <w:t xml:space="preserve"> </w:t>
      </w:r>
      <w:r>
        <w:t xml:space="preserve">for that tissue then re-annotates the same cells at full resolution. On withheld cross-study</w:t>
      </w:r>
      <w:r>
        <w:t xml:space="preserve"> </w:t>
      </w:r>
      <w:r>
        <w:t xml:space="preserve">liver cells the broad pass scores</w:t>
      </w:r>
      <w:r>
        <w:t xml:space="preserve"> </w:t>
      </w:r>
      <w:r>
        <w:rPr>
          <w:b/>
          <w:bCs/>
        </w:rPr>
        <w:t xml:space="preserve">0.23 exact / 0.58 ontology</w:t>
      </w:r>
      <w:r>
        <w:t xml:space="preserve"> </w:t>
      </w:r>
      <w:r>
        <w:t xml:space="preserve">and the focused reference</w:t>
      </w:r>
      <w:r>
        <w:t xml:space="preserve"> </w:t>
      </w:r>
      <w:r>
        <w:t xml:space="preserve">reaches</w:t>
      </w:r>
      <w:r>
        <w:t xml:space="preserve"> </w:t>
      </w:r>
      <w:r>
        <w:rPr>
          <w:b/>
          <w:bCs/>
        </w:rPr>
        <w:t xml:space="preserve">0.72 / 0.86</w:t>
      </w:r>
      <w:r>
        <w:t xml:space="preserve">.</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18" name="Picture"/>
            <a:graphic>
              <a:graphicData uri="http://schemas.openxmlformats.org/drawingml/2006/picture">
                <pic:pic>
                  <pic:nvPicPr>
                    <pic:cNvPr descr="/Users/iandriver/Downloads/actinn-jax-benchmark/docs/figures/fig_workflow_umap_ondata.png" id="19" name="Picture"/>
                    <pic:cNvPicPr>
                      <a:picLocks noChangeArrowheads="1" noChangeAspect="1"/>
                    </pic:cNvPicPr>
                  </pic:nvPicPr>
                  <pic:blipFill>
                    <a:blip r:embed="rId17"/>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The workflow on a withheld liver study (3,396 cells), same embedding</w:t>
      </w:r>
      <w:r>
        <w:t xml:space="preserve"> </w:t>
      </w:r>
      <w:r>
        <w:t xml:space="preserve">throughout. The census reference spreads 144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0"/>
    <w:bookmarkStart w:id="21" w:name="X4b2d42acec3b76f689a683a66890b5330678ad6"/>
    <w:p>
      <w:pPr>
        <w:pStyle w:val="Heading2"/>
      </w:pPr>
      <w:r>
        <w:t xml:space="preserve">The broad entry point is interchangeable, and one can be distilled without a GPU</w:t>
      </w:r>
    </w:p>
    <w:p>
      <w:pPr>
        <w:pStyle w:val="FirstParagraph"/>
      </w:pPr>
      <w:r>
        <w:t xml:space="preserve">Building a broad reference from the census requires a foundation model on a GPU to discover</w:t>
      </w:r>
      <w:r>
        <w:t xml:space="preserve"> </w:t>
      </w:r>
      <w:r>
        <w:t xml:space="preserve">its 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no GPU and no labeled input, in under ten minutes of</w:t>
      </w:r>
      <w:r>
        <w:t xml:space="preserve"> </w:t>
      </w:r>
      <w:r>
        <w:t xml:space="preserve">CPU. The result matches its teacher and beats our census-built reference, at six to nine times</w:t>
      </w:r>
      <w:r>
        <w:t xml:space="preserve"> </w:t>
      </w:r>
      <w:r>
        <w:t xml:space="preserve">the teacher’s throughput (Table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rPr>
                <w:b/>
                <w:bCs/>
              </w:rPr>
              <w:t xml:space="preserve">0.408</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t xml:space="preserve">0.406</w:t>
            </w:r>
          </w:p>
        </w:tc>
        <w:tc>
          <w:tcPr/>
          <w:p>
            <w:pPr>
              <w:pStyle w:val="Compact"/>
              <w:jc w:val="right"/>
            </w:pPr>
            <w:r>
              <w:rPr>
                <w:b/>
                <w:bCs/>
              </w:rPr>
              <w:t xml:space="preserve">8,937–10,021</w:t>
            </w:r>
          </w:p>
        </w:tc>
      </w:tr>
    </w:tbl>
    <w:p>
      <w:pPr>
        <w:pStyle w:val="BodyText"/>
      </w:pPr>
      <w:r>
        <w:rPr>
          <w:b/>
          <w:bCs/>
        </w:rPr>
        <w:t xml:space="preserve">Table 2.</w:t>
      </w:r>
      <w:r>
        <w:t xml:space="preserve"> </w:t>
      </w:r>
      <w:r>
        <w:t xml:space="preserve">Broad-pass entry points on 3,396 withheld cross-study liver cells, all three</w:t>
      </w:r>
      <w:r>
        <w:t xml:space="preserve"> </w:t>
      </w:r>
      <w:r>
        <w:t xml:space="preserve">scored on identical cells through one script. The distilled student needs only raw human</w:t>
      </w:r>
      <w:r>
        <w:t xml:space="preserve"> </w:t>
      </w:r>
      <w:r>
        <w:t xml:space="preserve">counts to build and inherits the teacher’s vocabulary and hierarchy. It does not inherit the</w:t>
      </w:r>
      <w:r>
        <w:t xml:space="preserve"> </w:t>
      </w:r>
      <w:r>
        <w:t xml:space="preserve">teacher’s calibrated abstention, which remains a limitation. Student and teacher are level</w:t>
      </w:r>
      <w:r>
        <w:t xml:space="preserve"> </w:t>
      </w:r>
      <w:r>
        <w:t xml:space="preserve">here rather than separated: read the distillation as preserving the teacher’s annotations at a</w:t>
      </w:r>
      <w:r>
        <w:t xml:space="preserve"> </w:t>
      </w:r>
      <w:r>
        <w:t xml:space="preserve">fraction of its cost, not as improving on them.</w:t>
      </w:r>
    </w:p>
    <w:p>
      <w:pPr>
        <w:pStyle w:val="BodyText"/>
      </w:pPr>
      <w:r>
        <w:t xml:space="preserve">The GPU can be removed from the census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1"/>
    <w:bookmarkStart w:id="26" w:name="X5d5a48a3482289717abb7130a8b6298d60e6610"/>
    <w:p>
      <w:pPr>
        <w:pStyle w:val="Heading2"/>
      </w:pPr>
      <w:r>
        <w:t xml:space="preserve">Where independent references agree, all of them are right more often</w:t>
      </w:r>
    </w:p>
    <w:p>
      <w:pPr>
        <w:pStyle w:val="FirstParagraph"/>
      </w:pPr>
      <w:r>
        <w:t xml:space="preserve">Three interchangeable entry points invite a question that is only affordable when calls are</w:t>
      </w:r>
      <w:r>
        <w:t xml:space="preserve"> </w:t>
      </w:r>
      <w:r>
        <w:t xml:space="preserve">cheap: what if a user runs all of them? Scored on identical cells and compared in the Cell</w:t>
      </w:r>
      <w:r>
        <w:t xml:space="preserve"> </w:t>
      </w:r>
      <w:r>
        <w:t xml:space="preserve">Ontology, they partition each query by agreement (Figure 2). We ran this on three tissues:</w:t>
      </w:r>
      <w:r>
        <w:t xml:space="preserve"> </w:t>
      </w:r>
      <w:r>
        <w:t xml:space="preserve">withheld cross-study</w:t>
      </w:r>
      <w:r>
        <w:t xml:space="preserve"> </w:t>
      </w:r>
      <w:r>
        <w:rPr>
          <w:b/>
          <w:bCs/>
        </w:rPr>
        <w:t xml:space="preserve">liver</w:t>
      </w:r>
      <w:r>
        <w:t xml:space="preserve"> </w:t>
      </w:r>
      <w:r>
        <w:t xml:space="preserve">(3,396 cells, 34 truth types), the Krasnow</w:t>
      </w:r>
      <w:r>
        <w:t xml:space="preserve"> </w:t>
      </w:r>
      <w:r>
        <w:rPr>
          <w:b/>
          <w:bCs/>
        </w:rPr>
        <w:t xml:space="preserve">lung</w:t>
      </w:r>
      <w:r>
        <w:t xml:space="preserve"> </w:t>
      </w:r>
      <w:r>
        <w:t xml:space="preserve">atlas</w:t>
      </w:r>
      <w:r>
        <w:t xml:space="preserve"> </w:t>
      </w:r>
      <w:r>
        <w:t xml:space="preserve">(65,662 cells, 46 types), and the Allen human</w:t>
      </w:r>
      <w:r>
        <w:t xml:space="preserve"> </w:t>
      </w:r>
      <w:r>
        <w:rPr>
          <w:b/>
          <w:bCs/>
        </w:rPr>
        <w:t xml:space="preserve">middle temporal gyrus</w:t>
      </w:r>
      <w:r>
        <w:t xml:space="preserve"> </w:t>
      </w:r>
      <w:r>
        <w:t xml:space="preserve">(156,285 cells, 18</w:t>
      </w:r>
      <w:r>
        <w:t xml:space="preserve"> </w:t>
      </w:r>
      <w:r>
        <w:t xml:space="preserve">types).</w:t>
      </w:r>
    </w:p>
    <w:p>
      <w:pPr>
        <w:pStyle w:val="BodyText"/>
      </w:pPr>
      <w:r>
        <w:t xml:space="preserve">One result holds everywhere. Cells on which the references disagree are annotated far less</w:t>
      </w:r>
      <w:r>
        <w:t xml:space="preserve"> </w:t>
      </w:r>
      <w:r>
        <w:t xml:space="preserve">reliably than cells on which they concur, for every reference and in every tissue: the census</w:t>
      </w:r>
      <w:r>
        <w:t xml:space="preserve"> </w:t>
      </w:r>
      <w:r>
        <w:t xml:space="preserve">model falls from 0.690 to 0.212 across the liver partition, 0.934 to 0.059 across lung, and</w:t>
      </w:r>
      <w:r>
        <w:t xml:space="preserve"> </w:t>
      </w:r>
      <w:r>
        <w:t xml:space="preserve">0.839 to 0.117 across brain, with the same direction for the other two. Because all three</w:t>
      </w:r>
      <w:r>
        <w:t xml:space="preserve"> </w:t>
      </w:r>
      <w:r>
        <w:t xml:space="preserve">improve together, agreement is selecting cells that are unambiguous rather than cells that one</w:t>
      </w:r>
      <w:r>
        <w:t xml:space="preserve"> </w:t>
      </w:r>
      <w:r>
        <w:t xml:space="preserve">model happens to get right — and unlike accuracy it is computable on a query whose answers are</w:t>
      </w:r>
      <w:r>
        <w:t xml:space="preserve"> </w:t>
      </w:r>
      <w:r>
        <w:t xml:space="preserve">unknown, for three sub-second calls and no labels.</w:t>
      </w:r>
    </w:p>
    <w:p>
      <w:pPr>
        <w:pStyle w:val="BodyText"/>
      </w:pPr>
      <w:r>
        <w:t xml:space="preserve">What varies, and varies enormously, is how much of a query the agreeing set covers:</w:t>
      </w:r>
      <w:r>
        <w:t xml:space="preserve"> </w:t>
      </w:r>
      <w:r>
        <w:rPr>
          <w:b/>
          <w:bCs/>
        </w:rPr>
        <w:t xml:space="preserve">23% on</w:t>
      </w:r>
      <w:r>
        <w:rPr>
          <w:b/>
          <w:bCs/>
        </w:rPr>
        <w:t xml:space="preserve"> </w:t>
      </w:r>
      <w:r>
        <w:rPr>
          <w:b/>
          <w:bCs/>
        </w:rPr>
        <w:t xml:space="preserve">liver, 48% on lung, 94% on brain</w:t>
      </w:r>
      <w:r>
        <w:t xml:space="preserve">. The brain figure is the instructive one. That query’s Cell</w:t>
      </w:r>
      <w:r>
        <w:t xml:space="preserve"> </w:t>
      </w:r>
      <w:r>
        <w:t xml:space="preserve">Ontology annotation uses 18 terms for a region whose own working taxonomy,</w:t>
      </w:r>
      <w:r>
        <w:t xml:space="preserve"> </w:t>
      </w:r>
      <w:r>
        <w:rPr>
          <w:rStyle w:val="VerbatimChar"/>
        </w:rPr>
        <w:t xml:space="preserve">CCN201908210</w:t>
      </w:r>
      <w:r>
        <w:t xml:space="preserve">,</w:t>
      </w:r>
      <w:r>
        <w:t xml:space="preserve"> </w:t>
      </w:r>
      <w:r>
        <w:t xml:space="preserve">defines 154 cell sets, and 55% of its cells fall in a single class. High agreement there</w:t>
      </w:r>
      <w:r>
        <w:t xml:space="preserve"> </w:t>
      </w:r>
      <w:r>
        <w:t xml:space="preserve">reflects a coarse truth vocabulary rather than an easy tissue, and it shows the partition</w:t>
      </w:r>
      <w:r>
        <w:t xml:space="preserve"> </w:t>
      </w:r>
      <w:r>
        <w:t xml:space="preserve">reporting the resolution of the annotation it is scored against — which is a property of the</w:t>
      </w:r>
      <w:r>
        <w:t xml:space="preserve"> </w:t>
      </w:r>
      <w:r>
        <w:t xml:space="preserve">query, not of the method.</w:t>
      </w:r>
    </w:p>
    <w:p>
      <w:pPr>
        <w:pStyle w:val="BodyText"/>
      </w:pPr>
      <w:r>
        <w:t xml:space="preserve">A consensus</w:t>
      </w:r>
      <w:r>
        <w:t xml:space="preserve"> </w:t>
      </w:r>
      <w:r>
        <w:rPr>
          <w:i/>
          <w:iCs/>
        </w:rPr>
        <w:t xml:space="preserve">label</w:t>
      </w:r>
      <w:r>
        <w:t xml:space="preserve"> </w:t>
      </w:r>
      <w:r>
        <w:t xml:space="preserve">is not the prize in any of the three. Taking the most specific call the</w:t>
      </w:r>
      <w:r>
        <w:t xml:space="preserve"> </w:t>
      </w:r>
      <w:r>
        <w:t xml:space="preserve">agreeing references support scores 0.365 on liver against the best single reference’s 0.408,</w:t>
      </w:r>
      <w:r>
        <w:t xml:space="preserve"> </w:t>
      </w:r>
      <w:r>
        <w:t xml:space="preserve">0.828 on lung against 0.831, and 0.837 on brain against 0.987 — the last badly worse, because</w:t>
      </w:r>
      <w:r>
        <w:t xml:space="preserve"> </w:t>
      </w:r>
      <w:r>
        <w:t xml:space="preserve">choosing the deepest agreeing call lets one reference’s confident, lineage-compatible but</w:t>
      </w:r>
      <w:r>
        <w:t xml:space="preserve"> </w:t>
      </w:r>
      <w:r>
        <w:t xml:space="preserve">wrong specificity override two correct coarser calls. Running several references does not</w:t>
      </w:r>
      <w:r>
        <w:t xml:space="preserve"> </w:t>
      </w:r>
      <w:r>
        <w:t xml:space="preserve">produce a better annotation; it tells you which annotations to trust.</w:t>
      </w:r>
    </w:p>
    <w:p>
      <w:pPr>
        <w:pStyle w:val="BodyText"/>
      </w:pPr>
      <w:r>
        <w:t xml:space="preserve">What counts as agreement is the ontology’s judgment rather than ours, and the comparison was</w:t>
      </w:r>
      <w:r>
        <w:t xml:space="preserve"> </w:t>
      </w:r>
      <w:r>
        <w:t xml:space="preserve">possible only because all three references carry Cell Ontology terms. The Common Cell type</w:t>
      </w:r>
      <w:r>
        <w:t xml:space="preserve"> </w:t>
      </w:r>
      <w:r>
        <w:t xml:space="preserve">Nomenclature</w:t>
      </w:r>
      <w:r>
        <w:t xml:space="preserve"> </w:t>
      </w:r>
      <w:hyperlink r:id="rId22">
        <w:r>
          <w:rPr>
            <w:rStyle w:val="Hyperlink"/>
          </w:rPr>
          <w:t xml:space="preserve">[Miller 2020]</w:t>
        </w:r>
      </w:hyperlink>
      <w:r>
        <w:t xml:space="preserve"> </w:t>
      </w:r>
      <w:r>
        <w:t xml:space="preserve">answers the same problem differently, giving each taxonomy’s cell</w:t>
      </w:r>
      <w:r>
        <w:t xml:space="preserve"> </w:t>
      </w:r>
      <w:r>
        <w:t xml:space="preserve">sets stable accessions and a curated alias layer rather than a shared coordinate system. The</w:t>
      </w:r>
      <w:r>
        <w:t xml:space="preserve"> </w:t>
      </w:r>
      <w:r>
        <w:t xml:space="preserve">two are complements, not substitutes: in the published human MTG taxonomy</w:t>
      </w:r>
      <w:r>
        <w:t xml:space="preserve"> </w:t>
      </w:r>
      <w:r>
        <w:rPr>
          <w:rStyle w:val="VerbatimChar"/>
        </w:rPr>
        <w:t xml:space="preserve">CCN201908210</w:t>
      </w:r>
      <w:r>
        <w:t xml:space="preserve"> </w:t>
      </w:r>
      <w:r>
        <w:t xml:space="preserve">the</w:t>
      </w:r>
      <w:r>
        <w:t xml:space="preserve"> </w:t>
      </w:r>
      <w:r>
        <w:t xml:space="preserve">154 cell sets carry an anatomical tag but no cell-type ontology id, and the field that matches</w:t>
      </w:r>
      <w:r>
        <w:t xml:space="preserve"> </w:t>
      </w:r>
      <w:r>
        <w:t xml:space="preserve">cell sets across taxonomies is filled for 23 of them. CL supplies the</w:t>
      </w:r>
      <w:r>
        <w:t xml:space="preserve"> </w:t>
      </w:r>
      <w:r>
        <w:rPr>
          <w:i/>
          <w:iCs/>
        </w:rPr>
        <w:t xml:space="preserve">total</w:t>
      </w:r>
      <w:r>
        <w:t xml:space="preserve"> </w:t>
      </w:r>
      <w:r>
        <w:t xml:space="preserve">subsumption</w:t>
      </w:r>
      <w:r>
        <w:t xml:space="preserve"> </w:t>
      </w:r>
      <w:r>
        <w:t xml:space="preserve">relation that makes an agreement partition computable; CCN supplies the provenance CL cannot,</w:t>
      </w:r>
      <w:r>
        <w:t xml:space="preserve"> </w:t>
      </w:r>
      <w:r>
        <w:t xml:space="preserve">recording which taxonomy and publication each label came from. A workflow that compares</w:t>
      </w:r>
      <w:r>
        <w:t xml:space="preserve"> </w:t>
      </w:r>
      <w:r>
        <w:t xml:space="preserve">annotations across references wants both.</w:t>
      </w:r>
    </w:p>
    <w:p>
      <w:pPr>
        <w:pStyle w:val="BodyText"/>
      </w:pPr>
      <w:r>
        <w:drawing>
          <wp:inline>
            <wp:extent cx="5334000" cy="1663557"/>
            <wp:effectExtent b="0" l="0" r="0" t="0"/>
            <wp:docPr descr="reference agreement" title="" id="24" name="Picture"/>
            <a:graphic>
              <a:graphicData uri="http://schemas.openxmlformats.org/drawingml/2006/picture">
                <pic:pic>
                  <pic:nvPicPr>
                    <pic:cNvPr descr="/Users/iandriver/Downloads/actinn-jax-benchmark/docs/figures/fig_consensus.png" id="25" name="Picture"/>
                    <pic:cNvPicPr>
                      <a:picLocks noChangeArrowheads="1" noChangeAspect="1"/>
                    </pic:cNvPicPr>
                  </pic:nvPicPr>
                  <pic:blipFill>
                    <a:blip r:embed="rId23"/>
                    <a:stretch>
                      <a:fillRect/>
                    </a:stretch>
                  </pic:blipFill>
                  <pic:spPr bwMode="auto">
                    <a:xfrm>
                      <a:off x="0" y="0"/>
                      <a:ext cx="5334000" cy="166355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Ontology concordance within each agreement tier for three broad references, on</w:t>
      </w:r>
      <w:r>
        <w:t xml:space="preserve"> </w:t>
      </w:r>
      <w:r>
        <w:t xml:space="preserve">withheld cross-study liver (</w:t>
      </w:r>
      <w:r>
        <w:rPr>
          <w:i/>
          <w:iCs/>
        </w:rPr>
        <w:t xml:space="preserve">A</w:t>
      </w:r>
      <w:r>
        <w:t xml:space="preserve">), the Krasnow lung atlas (</w:t>
      </w:r>
      <w:r>
        <w:rPr>
          <w:i/>
          <w:iCs/>
        </w:rPr>
        <w:t xml:space="preserve">B</w:t>
      </w:r>
      <w:r>
        <w:t xml:space="preserve">) and the Allen human middle</w:t>
      </w:r>
      <w:r>
        <w:t xml:space="preserve"> </w:t>
      </w:r>
      <w:r>
        <w:t xml:space="preserve">temporal gyrus (</w:t>
      </w:r>
      <w:r>
        <w:rPr>
          <w:i/>
          <w:iCs/>
        </w:rPr>
        <w:t xml:space="preserve">C</w:t>
      </w:r>
      <w:r>
        <w:t xml:space="preserve">); dashed lines are the same models over the whole query. Agreement is</w:t>
      </w:r>
      <w:r>
        <w:t xml:space="preserve"> </w:t>
      </w:r>
      <w:r>
        <w:t xml:space="preserve">evaluated in the Cell Ontology because the three references answer in different vocabularies</w:t>
      </w:r>
      <w:r>
        <w:t xml:space="preserve"> </w:t>
      </w:r>
      <w:r>
        <w:t xml:space="preserve">(798, 382 and 324 classes). The ordering is the same in all three tissues; the fraction of</w:t>
      </w:r>
      <w:r>
        <w:t xml:space="preserve"> </w:t>
      </w:r>
      <w:r>
        <w:t xml:space="preserve">cells on which the references agree is not, and tracks how finely the query’s own annotation</w:t>
      </w:r>
      <w:r>
        <w:t xml:space="preserve"> </w:t>
      </w:r>
      <w:r>
        <w:t xml:space="preserve">is resolved.</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eight</w:t>
      </w:r>
      <w:r>
        <w:t xml:space="preserve"> </w:t>
      </w:r>
      <w:r>
        <w:t xml:space="preserve">methods that return a per-cell confidence, five trade coverage for accuracy across the range</w:t>
      </w:r>
      <w:r>
        <w:t xml:space="preserve"> </w:t>
      </w:r>
      <w:r>
        <w:t xml:space="preserve">and three do not: CellTypist’s probabilities are saturated and give one operating point</w:t>
      </w:r>
      <w:r>
        <w:t xml:space="preserve"> </w:t>
      </w:r>
      <w:r>
        <w:t xml:space="preserve">instead of a curve, scTOP’s projection score keeps only 6% of the query at p ≥ 0.5, and</w:t>
      </w:r>
      <w:r>
        <w:t xml:space="preserve"> </w:t>
      </w:r>
      <w:r>
        <w:t xml:space="preserve">ProtoCloud’s ambiguity flag is flat until 0.9 (Supplementary Figures S8–S9). Among the five</w:t>
      </w:r>
      <w:r>
        <w:t xml:space="preserve"> </w:t>
      </w:r>
      <w:r>
        <w:t xml:space="preserve">that work, abstain quality does not separate them — actinn-jax and scArches are effectively</w:t>
      </w:r>
      <w:r>
        <w:t xml:space="preserve"> </w:t>
      </w:r>
      <w:r>
        <w:t xml:space="preserve">tied (0.969 accuracy on 66% of cells with 73% of novel cells flagged, against 0.983 on 61%</w:t>
      </w:r>
      <w:r>
        <w:t xml:space="preserve"> </w:t>
      </w:r>
      <w:r>
        <w:t xml:space="preserve">with 71%) — but cost does, at 0.54 s of predict time against 17.2 s. This is a second and</w:t>
      </w:r>
      <w:r>
        <w:t xml:space="preserve"> </w:t>
      </w:r>
      <w:r>
        <w:t xml:space="preserve">complementary route to the same end as reference agreement: a calibrated threshold within one</w:t>
      </w:r>
      <w:r>
        <w:t xml:space="preserve"> </w:t>
      </w:r>
      <w:r>
        <w:t xml:space="preserve">reference, or concurrence across several with no calibration at all.</w:t>
      </w:r>
    </w:p>
    <w:p>
      <w:pPr>
        <w:pStyle w:val="BodyText"/>
      </w:pPr>
      <w:r>
        <w:t xml:space="preserve">Separately, a foundation model run zero-shot scored</w:t>
      </w:r>
      <w:r>
        <w:t xml:space="preserve"> </w:t>
      </w:r>
      <w:r>
        <w:rPr>
          <w:b/>
          <w:bCs/>
        </w:rPr>
        <w:t xml:space="preserve">0.201</w:t>
      </w:r>
      <w:r>
        <w:t xml:space="preserve"> </w:t>
      </w:r>
      <w:r>
        <w:t xml:space="preserve">ontology concordance against</w:t>
      </w:r>
      <w:r>
        <w:t xml:space="preserve"> </w:t>
      </w:r>
      <w:r>
        <w:t xml:space="preserve">0.917 for a reference-trained model on the same cells, taking ~280× longer — reproduced</w:t>
      </w:r>
      <w:r>
        <w:t xml:space="preserve"> </w:t>
      </w:r>
      <w:r>
        <w:t xml:space="preserve">independently on 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The consequence we think matters most is not a ranking but a change in what an annotation</w:t>
      </w:r>
      <w:r>
        <w:t xml:space="preserve"> </w:t>
      </w:r>
      <w:r>
        <w:t xml:space="preserve">pipeline can afford to do. When a reference call costs a fraction of a second, the pipeline</w:t>
      </w:r>
      <w:r>
        <w:t xml:space="preserve"> </w:t>
      </w:r>
      <w:r>
        <w:t xml:space="preserve">stops being one classification and becomes a sequence of cheap ones: route the query to a</w:t>
      </w:r>
      <w:r>
        <w:t xml:space="preserve"> </w:t>
      </w:r>
      <w:r>
        <w:t xml:space="preserve">tissue, re-annotate against a reference matched to it, resolve states below the label, and ask</w:t>
      </w:r>
      <w:r>
        <w:t xml:space="preserve"> </w:t>
      </w:r>
      <w:r>
        <w:t xml:space="preserve">several independent references where they agree. Each step is unremarkable alone; together</w:t>
      </w:r>
      <w:r>
        <w:t xml:space="preserve"> </w:t>
      </w:r>
      <w:r>
        <w:t xml:space="preserve">they are what a user actually wants, and their feasibility is a cost property rather than an</w:t>
      </w:r>
      <w:r>
        <w:t xml:space="preserve"> </w:t>
      </w:r>
      <w:r>
        <w:t xml:space="preserve">accuracy property.</w:t>
      </w:r>
    </w:p>
    <w:p>
      <w:pPr>
        <w:pStyle w:val="BodyText"/>
      </w:pPr>
      <w:r>
        <w:t xml:space="preserve">The agreement result is the clearest case, and also the most honest about its limits. It buys</w:t>
      </w:r>
      <w:r>
        <w:t xml:space="preserve"> </w:t>
      </w:r>
      <w:r>
        <w:t xml:space="preserve">no better label — the consensus call loses to the best single reference — but it identifies,</w:t>
      </w:r>
      <w:r>
        <w:t xml:space="preserve"> </w:t>
      </w:r>
      <w:r>
        <w:t xml:space="preserve">with no ground truth at all, the fraction of a query on which independent references concur</w:t>
      </w:r>
      <w:r>
        <w:t xml:space="preserve"> </w:t>
      </w:r>
      <w:r>
        <w:t xml:space="preserve">and on which every one of them is markedly more often right. That is available to anyone</w:t>
      </w:r>
      <w:r>
        <w:t xml:space="preserve"> </w:t>
      </w:r>
      <w:r>
        <w:t xml:space="preserve">willing to run three annotators instead of one, which is only a reasonable thing to ask when</w:t>
      </w:r>
      <w:r>
        <w:t xml:space="preserve"> </w:t>
      </w:r>
      <w:r>
        <w:t xml:space="preserve">each takes under a second.</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our</w:t>
      </w:r>
      <w:r>
        <w:t xml:space="preserve"> </w:t>
      </w:r>
      <w:r>
        <w:t xml:space="preserve">distilled model matches rather than improves on it; we claim not better annotations but</w:t>
      </w:r>
      <w:r>
        <w:t xml:space="preserve"> </w:t>
      </w:r>
      <w:r>
        <w:t xml:space="preserve">cheaper ones that preserve its vocabulary and structure. What remains distinct is the hand-off</w:t>
      </w:r>
      <w:r>
        <w:t xml:space="preserve"> </w:t>
      </w:r>
      <w:r>
        <w:t xml:space="preserve">no fixed typology performs — re-annotation into a user’s own label set, resolution below a</w:t>
      </w:r>
      <w:r>
        <w:t xml:space="preserve"> </w:t>
      </w:r>
      <w:r>
        <w:t xml:space="preserve">typology’s leaves, and screening for what none of them claims — at a cost that keeps every</w:t>
      </w:r>
      <w:r>
        <w:t xml:space="preserve"> </w:t>
      </w:r>
      <w:r>
        <w:t xml:space="preserve">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that the distilled reference inherits a vocabulary but not its</w:t>
      </w:r>
      <w:r>
        <w:t xml:space="preserve"> </w:t>
      </w:r>
      <w:r>
        <w:t xml:space="preserve">teacher’s calibrated abstention; that the agreement result covers three tissues with three</w:t>
      </w:r>
      <w:r>
        <w:t xml:space="preserve"> </w:t>
      </w:r>
      <w:r>
        <w:t xml:space="preserve">references, so its direction is replicated but the size of the agreeing fraction is strongly</w:t>
      </w:r>
      <w:r>
        <w:t xml:space="preserve"> </w:t>
      </w:r>
      <w:r>
        <w:t xml:space="preserve">dependent on how finely the query is annotated; and that agreement is defined in the Cell</w:t>
      </w:r>
      <w:r>
        <w:t xml:space="preserve"> </w:t>
      </w:r>
      <w:r>
        <w:t xml:space="preserve">Ontology, whose subsumption judgments decide what counts as agreeing and whose resolution in</w:t>
      </w:r>
      <w:r>
        <w:t xml:space="preserve"> </w:t>
      </w:r>
      <w:r>
        <w:t xml:space="preserve">cortex is roughly a tenth of the working taxonomy’s. Full limitations are in the extended</w:t>
      </w:r>
      <w:r>
        <w:t xml:space="preserve"> </w:t>
      </w:r>
      <w:r>
        <w:t xml:space="preserve">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Miller JA, Gouwens NW, Tasic B, et al. Common cell type nomenclature for the mammalian brain.</w:t>
      </w:r>
      <w:r>
        <w:t xml:space="preserve"> </w:t>
      </w:r>
      <w:r>
        <w:rPr>
          <w:i/>
          <w:iCs/>
        </w:rPr>
        <w:t xml:space="preserve">eLife</w:t>
      </w:r>
      <w:r>
        <w:t xml:space="preserve"> </w:t>
      </w:r>
      <w:r>
        <w:t xml:space="preserve">9:e59928 (2020).</w:t>
      </w:r>
      <w:r>
        <w:t xml:space="preserve"> </w:t>
      </w:r>
      <w:hyperlink r:id="rId22">
        <w:r>
          <w:rPr>
            <w:rStyle w:val="Hyperlink"/>
          </w:rPr>
          <w:t xml:space="preserve">doi:10.7554/eLife.59928</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22" Target="https://doi.org/10.7554/eLife.59928"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22" Target="https://doi.org/10.7554/eLife.59928"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2026-08-18T02:48:55Z</dcterms:created>
  <dcterms:modified xsi:type="dcterms:W3CDTF">2026-08-18T02:48:55Z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one of the most repeated operations in single-cell analysis, yet comparisons report accuracy far more often than the time and memory that decide what a scientist can actually run. We benchmarked thirteen methods, classical through foundation-model, across eight splits of seven datasets (8–151 cell types) on commodity hardware, and on Open Problems label_projection, whose datasets and metrics we did not choose. Accuracy among the leading methods is tightly clustered — the top four span 0.008 —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 actinn-jax, a JAX reimplementation of ACTINN whose cached reference maps a query in under a second, we show annotation becoming a multi-pass workflow 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 label beats none of them: the value is knowing which calls to trust. We release the reimplementation, the harness and the pre-trained references.</vt:lpwstr>
  </property>
  <property fmtid="{D5CDD505-2E9C-101B-9397-08002B2CF9AE}" pid="3" name="date">
    <vt:lpwstr/>
  </property>
</Properties>
</file>