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inference cost differs by ~130×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reaching higher concordance than either the teacher or a</w:t>
      </w:r>
      <w:r>
        <w:t xml:space="preserve"> </w:t>
      </w:r>
      <w:r>
        <w:t xml:space="preserve">census-built 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for</w:t>
      </w:r>
      <w:r>
        <w:t xml:space="preserve"> </w:t>
      </w:r>
      <w:r>
        <w:t xml:space="preserve">eleven methods on three 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~130× in</w:t>
      </w:r>
      <w:r>
        <w:rPr>
          <w:b/>
          <w:bCs/>
        </w:rPr>
        <w:t xml:space="preserve"> </w:t>
      </w:r>
      <w:r>
        <w:rPr>
          <w:b/>
          <w:bCs/>
        </w:rPr>
        <w:t xml:space="preserve">inference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beats both the teacher and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Replacing the embedding-derived hierarchy with one derived from Cell</w:t>
      </w:r>
      <w:r>
        <w:t xml:space="preserve"> </w:t>
      </w:r>
      <w:r>
        <w:t xml:space="preserve">Ontology lineage removes the GPU from the build entirely and outperforms it (0.616 vs 0.547</w:t>
      </w:r>
      <w:r>
        <w:t xml:space="preserve"> </w:t>
      </w:r>
      <w:r>
        <w:t xml:space="preserve">flat; a same-sized random grouping scores 0.539), which extends the route to a second organism.</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2026-08-09T02:22:56Z</dcterms:created>
  <dcterms:modified xsi:type="dcterms:W3CDTF">2026-08-09T02:22:56Z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reaching higher concordance than the teacher at 6–9× its throughput. We release the reimplementation (actinn-jax), the harness, and the pre-trained references.</vt:lpwstr>
  </property>
  <property fmtid="{D5CDD505-2E9C-101B-9397-08002B2CF9AE}" pid="3" name="date">
    <vt:lpwstr/>
  </property>
</Properties>
</file>