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  <Override PartName="/word/media/rId21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S1–S5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2130714"/>
            <wp:effectExtent b="0" l="0" r="0" t="0"/>
            <wp:docPr descr="abstain trade-off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Abstention with 9 of 36 liver cell types withheld from the reference, so 1,350</w:t>
      </w:r>
      <w:r>
        <w:t xml:space="preserve"> </w:t>
      </w:r>
      <w:r>
        <w:t xml:space="preserve">query cells are genuinely out of distribution.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</w:t>
      </w:r>
      <w:r>
        <w:t xml:space="preserve"> </w:t>
      </w:r>
      <w:r>
        <w:t xml:space="preserve">coverage.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fraction of held-out-type cells flagged as the threshold rises.</w:t>
      </w:r>
      <w:r>
        <w:t xml:space="preserve"> </w:t>
      </w:r>
      <w:r>
        <w:t xml:space="preserve">actinn-jax traces a usable curve on both axes; CellTypist’s probabilities are saturated, so</w:t>
      </w:r>
      <w:r>
        <w:t xml:space="preserve"> </w:t>
      </w:r>
      <w:r>
        <w:t xml:space="preserve">thresholds from 0.3 to 0.9 land on a single operating point and its novel-cell detection is</w:t>
      </w:r>
      <w:r>
        <w:t xml:space="preserve"> </w:t>
      </w:r>
      <w:r>
        <w:t xml:space="preserve">flat from 0.3 onward.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2026-08-09T02:19:49Z</dcterms:created>
  <dcterms:modified xsi:type="dcterms:W3CDTF">2026-08-09T02:19:49Z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