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spanning classical, regularized-linear, parameter-free, correlation, deep-probabilistic, prototype-VAE and foundation-model families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w:t>
      </w:r>
      <w:r>
        <w:t xml:space="preserve"> </w:t>
      </w:r>
      <w:r>
        <w:rPr>
          <w:b/>
          <w:bCs/>
        </w:rPr>
        <w:t xml:space="preserve">Pan-human Azimuth</w:t>
      </w:r>
      <w:r>
        <w:t xml:space="preserve">, a concurrent purpose-built pan-human annotator, can be distilled into such a reference from raw counts alone — no GPU, no labeled input — matching the teacher’s concordance at 6–9× its throughput. We release the reimplementation (actinn-jax),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Several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S1–S5 — confusion matrices</w:t>
      </w:r>
      <w:r>
        <w:t xml:space="preserve"> </w:t>
      </w:r>
      <w:r>
        <w:t xml:space="preserve">with ontology-equivalent errors outlined, the abstain trade-off, and per-class recall for</w:t>
      </w:r>
      <w:r>
        <w:t xml:space="preserve"> </w:t>
      </w:r>
      <w:r>
        <w:t xml:space="preserve">eleven methods on three 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28"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means over the benchmark panel; bold marks the best value in</w:t>
      </w:r>
      <w:r>
        <w:t xml:space="preserve"> </w:t>
      </w:r>
      <w:r>
        <w:t xml:space="preserve">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17"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Conclusions from subsampled references do not</w:t>
      </w:r>
      <w:r>
        <w:t xml:space="preserve"> </w:t>
      </w:r>
      <w:r>
        <w:t xml:space="preserve">transfer to atlas scale in either direction.</w:t>
      </w:r>
    </w:p>
    <w:p>
      <w:pPr>
        <w:pStyle w:val="BodyText"/>
      </w:pPr>
      <w:r>
        <w:t xml:space="preserve">External validation inverts a different axis. On Open Problems — datasets, metrics and ranking</w:t>
      </w:r>
      <w:r>
        <w:t xml:space="preserve"> </w:t>
      </w:r>
      <w:r>
        <w:t xml:space="preserve">not ours — all eleven methods were run through one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inside four</w:t>
      </w:r>
      <w:r>
        <w:t xml:space="preserve"> </w:t>
      </w:r>
      <w:r>
        <w:t xml:space="preserve">ordinary results, traced to the fixed feature budget.</w:t>
      </w:r>
    </w:p>
    <w:bookmarkEnd w:id="17"/>
    <w:bookmarkStart w:id="21" w:name="inference-cost-is-flat-in-reference-size"/>
    <w:p>
      <w:pPr>
        <w:pStyle w:val="Heading2"/>
      </w:pPr>
      <w:r>
        <w:t xml:space="preserve">Inference cost is flat in reference size</w:t>
      </w:r>
    </w:p>
    <w:p>
      <w:pPr>
        <w:pStyle w:val="FirstParagraph"/>
      </w:pPr>
      <w:r>
        <w:t xml:space="preserve">Training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1).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p>
    <w:p>
      <w:pPr>
        <w:pStyle w:val="BodyText"/>
      </w:pPr>
      <w:r>
        <w:drawing>
          <wp:inline>
            <wp:extent cx="5334000" cy="1970216"/>
            <wp:effectExtent b="0" l="0" r="0" t="0"/>
            <wp:docPr descr="scaling" title="" id="19" name="Picture"/>
            <a:graphic>
              <a:graphicData uri="http://schemas.openxmlformats.org/drawingml/2006/picture">
                <pic:pic>
                  <pic:nvPicPr>
                    <pic:cNvPr descr="/Users/iandriver/Downloads/actinn-jax-benchmark/docs/figures/fig_scaling.png" id="20" name="Picture"/>
                    <pic:cNvPicPr>
                      <a:picLocks noChangeArrowheads="1" noChangeAspect="1"/>
                    </pic:cNvPicPr>
                  </pic:nvPicPr>
                  <pic:blipFill>
                    <a:blip r:embed="rId1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Fit and prediction time against reference size and label cardinality. Fit grows</w:t>
      </w:r>
      <w:r>
        <w:t xml:space="preserve"> </w:t>
      </w:r>
      <w:r>
        <w:t xml:space="preserve">for every trained method; prediction stays flat and sub-second across the whole range.</w:t>
      </w:r>
    </w:p>
    <w:bookmarkEnd w:id="21"/>
    <w:bookmarkStart w:id="25"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2).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3" name="Picture"/>
            <a:graphic>
              <a:graphicData uri="http://schemas.openxmlformats.org/drawingml/2006/picture">
                <pic:pic>
                  <pic:nvPicPr>
                    <pic:cNvPr descr="/Users/iandriver/Downloads/actinn-jax-benchmark/docs/figures/fig_workflow_umap_ondata.png" id="24" name="Picture"/>
                    <pic:cNvPicPr>
                      <a:picLocks noChangeArrowheads="1" noChangeAspect="1"/>
                    </pic:cNvPicPr>
                  </pic:nvPicPr>
                  <pic:blipFill>
                    <a:blip r:embed="rId22"/>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5"/>
    <w:bookmarkStart w:id="26"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 Deriving the hierarchy from Cell Ontology lineage instead of a foundation-model embedding</w:t>
      </w:r>
      <w:r>
        <w:t xml:space="preserve"> </w:t>
      </w:r>
      <w:r>
        <w:t xml:space="preserve">removes the GPU from the build entirely, and beats both no hierarchy (0.616 vs 0.547) and a</w:t>
      </w:r>
      <w:r>
        <w:t xml:space="preserve"> </w:t>
      </w:r>
      <w:r>
        <w:t xml:space="preserve">same-sized random grouping (0.539). That route also extends to a second organism: a pan-mouse</w:t>
      </w:r>
      <w:r>
        <w:t xml:space="preserve"> </w:t>
      </w:r>
      <w:r>
        <w:t xml:space="preserve">reference of 453 types across 85 tissues reaches 0.638 ontology concordance on two withheld</w:t>
      </w:r>
      <w:r>
        <w:t xml:space="preserve"> </w:t>
      </w:r>
      <w:r>
        <w:t xml:space="preserve">datasets after 17 s of CPU.</w:t>
      </w:r>
    </w:p>
    <w:bookmarkEnd w:id="26"/>
    <w:bookmarkStart w:id="27"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A comparator with saturated probabilities</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0.894 for a</w:t>
      </w:r>
      <w:r>
        <w:t xml:space="preserve"> </w:t>
      </w:r>
      <w:r>
        <w:t xml:space="preserve">reference-trained model on the same data, taking ~280× longer — reproduced independently on</w:t>
      </w:r>
      <w:r>
        <w:t xml:space="preserve"> </w:t>
      </w:r>
      <w:r>
        <w:t xml:space="preserve">Open Problems, where zero-shot entries sit at the bottom of the leaderboard.</w:t>
      </w:r>
    </w:p>
    <w:bookmarkEnd w:id="27"/>
    <w:bookmarkEnd w:id="28"/>
    <w:bookmarkStart w:id="29"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A prototype VAE provides uncertainty, attribution and</w:t>
      </w:r>
      <w:r>
        <w:t xml:space="preserve"> </w:t>
      </w:r>
      <w:r>
        <w:t xml:space="preserve">a 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29"/>
    <w:bookmarkStart w:id="52"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0">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1">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2">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3">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4">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5">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6">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7">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38">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39">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0">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1">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2">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3">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4">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5">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6">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47">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48">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49">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0">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1">
        <w:r>
          <w:rPr>
            <w:rStyle w:val="Hyperlink"/>
          </w:rPr>
          <w:t xml:space="preserve">xkcd.com/927</w:t>
        </w:r>
      </w:hyperlink>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2026-08-10T01:03:28Z</dcterms:created>
  <dcterms:modified xsi:type="dcterms:W3CDTF">2026-08-10T01:03:28Z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spanning classical, regularized-linear, parameter-free, correlation, deep-probabilistic, prototype-VAE and foundation-model families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 Pan-human Azimuth, a concurrent purpose-built pan-human annotator, can be distilled into such a reference from raw counts alone — no GPU, no labeled input — matching the teacher’s concordance at 6–9× its throughput. We release the reimplementation (actinn-jax), the harness, and the pre-trained references.</vt:lpwstr>
  </property>
  <property fmtid="{D5CDD505-2E9C-101B-9397-08002B2CF9AE}" pid="3" name="date">
    <vt:lpwstr/>
  </property>
</Properties>
</file>