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fit and predict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7"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Centre:</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6"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6"/>
    <w:bookmarkStart w:id="67"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7"/>
    <w:bookmarkStart w:id="76"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8">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9">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6).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7)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1" name="Picture"/>
            <a:graphic>
              <a:graphicData uri="http://schemas.openxmlformats.org/drawingml/2006/picture">
                <pic:pic>
                  <pic:nvPicPr>
                    <pic:cNvPr descr="/Users/iandriver/Downloads/actinn-jax-benchmark/docs/figures/gene_budget_curve.png" id="72" name="Picture"/>
                    <pic:cNvPicPr>
                      <a:picLocks noChangeArrowheads="1" noChangeAspect="1"/>
                    </pic:cNvPicPr>
                  </pic:nvPicPr>
                  <pic:blipFill>
                    <a:blip r:embed="rId70"/>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4" name="Picture"/>
            <a:graphic>
              <a:graphicData uri="http://schemas.openxmlformats.org/drawingml/2006/picture">
                <pic:pic>
                  <pic:nvPicPr>
                    <pic:cNvPr descr="/Users/iandriver/Downloads/actinn-jax-benchmark/docs/figures/gene_budget_signals.png" id="75" name="Picture"/>
                    <pic:cNvPicPr>
                      <a:picLocks noChangeArrowheads="1" noChangeAspect="1"/>
                    </pic:cNvPicPr>
                  </pic:nvPicPr>
                  <pic:blipFill>
                    <a:blip r:embed="rId73"/>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6"/>
    <w:bookmarkEnd w:id="77"/>
    <w:bookmarkStart w:id="79"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are independent support, from a group with</w:t>
      </w:r>
      <w:r>
        <w:t xml:space="preserve"> </w:t>
      </w:r>
      <w:r>
        <w:t xml:space="preserve">no stake in our conclusion, for our two claims: that training-data quality and organization</w:t>
      </w:r>
      <w:r>
        <w:t xml:space="preserve"> </w:t>
      </w:r>
      <w:r>
        <w:t xml:space="preserve">matter as much as model architecture, and that zero-shot foundation-model labels are the</w:t>
      </w:r>
      <w:r>
        <w:t xml:space="preserve"> </w:t>
      </w:r>
      <w:r>
        <w:t xml:space="preserve">weaker option.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8">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9"/>
    <w:bookmarkStart w:id="80"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0"/>
    <w:bookmarkStart w:id="86"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1">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2">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3">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4">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5">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across</w:t>
      </w:r>
      <w:r>
        <w:t xml:space="preserve"> </w:t>
      </w:r>
      <w:r>
        <w:t xml:space="preserve">eleven methods on three splits — and Tables S1–S3, the method and dataset descriptions and</w:t>
      </w:r>
      <w:r>
        <w:t xml:space="preserve"> </w:t>
      </w:r>
      <w:r>
        <w:t xml:space="preserve">per-dataset accuracy.</w:t>
      </w:r>
    </w:p>
    <w:bookmarkEnd w:id="86"/>
    <w:bookmarkStart w:id="87"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9">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8">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hyperlink" Id="rId36" Target="https://chanzuckerberg.github.io/cellxgene-census/" TargetMode="External" /><Relationship Type="http://schemas.openxmlformats.org/officeDocument/2006/relationships/hyperlink" Id="rId84"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5" Target="https://doi.org/10.5281/zenodo.20401417" TargetMode="External" /><Relationship Type="http://schemas.openxmlformats.org/officeDocument/2006/relationships/hyperlink" Id="rId83" Target="https://doi.org/10.5281/zenodo.21688150" TargetMode="External" /><Relationship Type="http://schemas.openxmlformats.org/officeDocument/2006/relationships/hyperlink" Id="rId82" Target="https://doi.org/10.5281/zenodo.21688151" TargetMode="External" /><Relationship Type="http://schemas.openxmlformats.org/officeDocument/2006/relationships/hyperlink" Id="rId7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1"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4"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9"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5" Target="https://doi.org/10.5281/zenodo.20401417" TargetMode="External" /><Relationship Type="http://schemas.openxmlformats.org/officeDocument/2006/relationships/hyperlink" Id="rId83" Target="https://doi.org/10.5281/zenodo.21688150" TargetMode="External" /><Relationship Type="http://schemas.openxmlformats.org/officeDocument/2006/relationships/hyperlink" Id="rId82" Target="https://doi.org/10.5281/zenodo.21688151" TargetMode="External" /><Relationship Type="http://schemas.openxmlformats.org/officeDocument/2006/relationships/hyperlink" Id="rId78"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1"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8"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2026-08-10T01:03:25Z</dcterms:created>
  <dcterms:modified xsi:type="dcterms:W3CDTF">2026-08-10T01:03:25Z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plus a five-point scaling sweep to 49k reference cells, measuring accuracy, macro-F1, ontology-aware concordance, fit and predict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