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70.png" ContentType="image/png"/>
  <Override PartName="/word/media/rId55.png" ContentType="image/png"/>
  <Override PartName="/word/media/rId48.png" ContentType="image/png"/>
  <Override PartName="/word/media/rId65.png" ContentType="image/png"/>
  <Override PartName="/word/media/rId58.png" ContentType="image/png"/>
  <Override PartName="/word/media/rId52.png" ContentType="image/png"/>
  <Override PartName="/word/media/rId62.png" ContentType="image/png"/>
  <Override PartName="/word/media/rId80.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benchmark of cell-type annotation methods for single-cell data: cost, not accuracy, distinguishes them</w:t>
      </w:r>
    </w:p>
    <w:p>
      <w:pPr>
        <w:pStyle w:val="Author"/>
      </w:pPr>
      <w:r>
        <w:t xml:space="preserve">Ian Driver</w:t>
      </w:r>
    </w:p>
    <w:p>
      <w:pPr>
        <w:pStyle w:val="AbstractTitle"/>
      </w:pPr>
      <w:r>
        <w:t xml:space="preserve">Abstract</w:t>
      </w:r>
    </w:p>
    <w:p>
      <w:pPr>
        <w:pStyle w:val="Abstract"/>
      </w:pPr>
      <w:r>
        <w:t xml:space="preserve">Cell-type annotation by reference mapping is one of the most repeated operations in single-cell analysis, yet comparisons report accuracy far more often than the time and memory that decide what a scientist can actually run. We benchmarked</w:t>
      </w:r>
      <w:r>
        <w:t xml:space="preserve"> </w:t>
      </w:r>
      <w:r>
        <w:rPr>
          <w:b/>
          <w:bCs/>
        </w:rPr>
        <w:t xml:space="preserve">thirteen methods</w:t>
      </w:r>
      <w:r>
        <w:t xml:space="preserve">, classical through foundation-model, across</w:t>
      </w:r>
      <w:r>
        <w:t xml:space="preserve"> </w:t>
      </w:r>
      <w:r>
        <w:rPr>
          <w:b/>
          <w:bCs/>
        </w:rPr>
        <w:t xml:space="preserve">eight splits of seven datasets</w:t>
      </w:r>
      <w:r>
        <w:t xml:space="preserve"> </w:t>
      </w:r>
      <w:r>
        <w:t xml:space="preserve">(8–151 cell types) on commodity hardware, and on Open Problems</w:t>
      </w:r>
      <w:r>
        <w:t xml:space="preserve"> </w:t>
      </w:r>
      <w:r>
        <w:rPr>
          <w:rStyle w:val="VerbatimChar"/>
        </w:rPr>
        <w:t xml:space="preserve">label_projection</w:t>
      </w:r>
      <w:r>
        <w:t xml:space="preserve">, whose datasets and metrics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2.5×. No method leads everywhere, and no ordering is stable — it inverts with reference size, feature budget and label granularity. With several methods both accurate and cheap, the useful question is not which is best but what cheap annotation makes possible. Using</w:t>
      </w:r>
      <w:r>
        <w:t xml:space="preserve"> </w:t>
      </w:r>
      <w:r>
        <w:rPr>
          <w:b/>
          <w:bCs/>
        </w:rPr>
        <w:t xml:space="preserve">actinn-jax</w:t>
      </w:r>
      <w:r>
        <w:t xml:space="preserve">, a JAX reimplementation of ACTINN whose cached reference maps a query in under a second, we show annotation becoming a</w:t>
      </w:r>
      <w:r>
        <w:t xml:space="preserve"> </w:t>
      </w:r>
      <w:r>
        <w:rPr>
          <w:b/>
          <w:bCs/>
        </w:rPr>
        <w:t xml:space="preserve">multi-pass workflow</w:t>
      </w:r>
      <w:r>
        <w:t xml:space="preserve"> </w:t>
      </w:r>
      <w:r>
        <w:t xml:space="preserve">rather than a single decision: a shipped ~800-type reference routes a query to tissue and hands off to a focused one (cross-study liver 0.23/0.58 to 0.72/0.86, exact/ontology); a pan-human annotator distills into an interchangeable entry point from raw counts alone — no GPU, no labels — matching its teacher at six to nine times the throughput; and three broad references over the same cells partition it by agreement. In liver, lung and brain every reference is far more accurate where all three concur, though a consensus</w:t>
      </w:r>
      <w:r>
        <w:t xml:space="preserve"> </w:t>
      </w:r>
      <w:r>
        <w:rPr>
          <w:i/>
          <w:iCs/>
        </w:rPr>
        <w:t xml:space="preserve">label</w:t>
      </w:r>
      <w:r>
        <w:t xml:space="preserve"> </w:t>
      </w:r>
      <w:r>
        <w:t xml:space="preserve">beats none of them: the value is knowing which calls to trust.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not ours to</w:t>
      </w:r>
      <w:r>
        <w:rPr>
          <w:b/>
          <w:bCs/>
        </w:rPr>
        <w:t xml:space="preserve"> </w:t>
      </w:r>
      <w:r>
        <w:rPr>
          <w:b/>
          <w:bCs/>
        </w:rPr>
        <w:t xml:space="preserve">design</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Python and ML</w:t>
      </w:r>
      <w:r>
        <w:t xml:space="preserve"> </w:t>
      </w:r>
      <w:r>
        <w:t xml:space="preserve">environments,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w:t>
      </w:r>
      <w:r>
        <w:t xml:space="preserve"> </w:t>
      </w:r>
      <w:r>
        <w:t xml:space="preserve">the TensorFlow-1.x original,</w:t>
      </w:r>
      <w:r>
        <w:t xml:space="preserve"> </w:t>
      </w:r>
      <w:r>
        <w:rPr>
          <w:b/>
          <w:bCs/>
        </w:rPr>
        <w:t xml:space="preserve">installs on current Python and ML environments</w:t>
      </w:r>
      <w:r>
        <w:t xml:space="preserve">. Because the</w:t>
      </w:r>
      <w:r>
        <w:t xml:space="preserve"> </w:t>
      </w:r>
      <w:r>
        <w:t xml:space="preserve">two are the same 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eight splits,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not included: it is unmaintained, and no longer installs against current</w:t>
      </w:r>
      <w:r>
        <w:t xml:space="preserve"> </w:t>
      </w:r>
      <w:r>
        <w:t xml:space="preserve">releases of the harmony dependency it builds on.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r>
        <w:tc>
          <w:tcPr/>
          <w:p>
            <w:pPr>
              <w:pStyle w:val="Compact"/>
            </w:pPr>
            <w:r>
              <w:t xml:space="preserve">brain_intra</w:t>
            </w:r>
          </w:p>
        </w:tc>
        <w:tc>
          <w:tcPr/>
          <w:p>
            <w:pPr>
              <w:pStyle w:val="Compact"/>
            </w:pPr>
            <w:r>
              <w:t xml:space="preserve">[Jorstad 2023]</w:t>
            </w:r>
          </w:p>
        </w:tc>
        <w:tc>
          <w:tcPr/>
          <w:p>
            <w:pPr>
              <w:pStyle w:val="Compact"/>
            </w:pPr>
            <w:r>
              <w:t xml:space="preserve">within-dataset</w:t>
            </w:r>
          </w:p>
        </w:tc>
        <w:tc>
          <w:tcPr/>
          <w:p>
            <w:pPr>
              <w:pStyle w:val="Compact"/>
            </w:pPr>
            <w:r>
              <w:t xml:space="preserve">brain, MTG (Allen)</w:t>
            </w:r>
          </w:p>
        </w:tc>
        <w:tc>
          <w:tcPr/>
          <w:p>
            <w:pPr>
              <w:pStyle w:val="Compact"/>
            </w:pPr>
            <w:r>
              <w:t xml:space="preserve">24</w:t>
            </w:r>
          </w:p>
        </w:tc>
        <w:tc>
          <w:tcPr/>
          <w:p>
            <w:pPr>
              <w:pStyle w:val="Compact"/>
            </w:pPr>
            <w:r>
              <w:t xml:space="preserve">Ensembl</w:t>
            </w:r>
          </w:p>
        </w:tc>
        <w:tc>
          <w:tcPr/>
          <w:p>
            <w:pPr>
              <w:pStyle w:val="Compact"/>
            </w:pPr>
            <w:r>
              <w:t xml:space="preserve">single nuclei; Allen subclasses</w:t>
            </w:r>
          </w:p>
        </w:tc>
      </w:tr>
      <w:tr>
        <w:tc>
          <w:tcPr/>
          <w:p>
            <w:pPr>
              <w:pStyle w:val="Compact"/>
            </w:pPr>
            <w:r>
              <w:t xml:space="preserve">brain_cluster</w:t>
            </w:r>
          </w:p>
        </w:tc>
        <w:tc>
          <w:tcPr/>
          <w:p>
            <w:pPr>
              <w:pStyle w:val="Compact"/>
            </w:pPr>
            <w:r>
              <w:t xml:space="preserve">[Jorstad 2023]</w:t>
            </w:r>
          </w:p>
        </w:tc>
        <w:tc>
          <w:tcPr/>
          <w:p>
            <w:pPr>
              <w:pStyle w:val="Compact"/>
            </w:pPr>
            <w:r>
              <w:t xml:space="preserve">within-dataset</w:t>
            </w:r>
          </w:p>
        </w:tc>
        <w:tc>
          <w:tcPr/>
          <w:p>
            <w:pPr>
              <w:pStyle w:val="Compact"/>
            </w:pPr>
            <w:r>
              <w:t xml:space="preserve">brain, MTG (Allen)</w:t>
            </w:r>
          </w:p>
        </w:tc>
        <w:tc>
          <w:tcPr/>
          <w:p>
            <w:pPr>
              <w:pStyle w:val="Compact"/>
            </w:pPr>
            <w:r>
              <w:t xml:space="preserve">151</w:t>
            </w:r>
          </w:p>
        </w:tc>
        <w:tc>
          <w:tcPr/>
          <w:p>
            <w:pPr>
              <w:pStyle w:val="Compact"/>
            </w:pPr>
            <w:r>
              <w:t xml:space="preserve">Ensembl</w:t>
            </w:r>
          </w:p>
        </w:tc>
        <w:tc>
          <w:tcPr/>
          <w:p>
            <w:pPr>
              <w:pStyle w:val="Compact"/>
            </w:pPr>
            <w:r>
              <w:t xml:space="preserve">same nuclei, CCN cell sets</w:t>
            </w:r>
          </w:p>
        </w:tc>
      </w:tr>
    </w:tbl>
    <w:p>
      <w:pPr>
        <w:pStyle w:val="BodyText"/>
      </w:pPr>
      <w:r>
        <w:rPr>
          <w:b/>
          <w:bCs/>
        </w:rPr>
        <w:t xml:space="preserve">Table 2.</w:t>
      </w:r>
      <w:r>
        <w:t xml:space="preserve"> </w:t>
      </w:r>
      <w:r>
        <w:t xml:space="preserve">The eight benchmark splits, over seven datasets — brain appears twice because the</w:t>
      </w:r>
      <w:r>
        <w:t xml:space="preserve"> </w:t>
      </w:r>
      <w:r>
        <w:t xml:space="preserve">same nuclei are scored at two levels of one taxonomy.</w:t>
      </w:r>
      <w:r>
        <w:t xml:space="preserve"> </w:t>
      </w:r>
      <w:r>
        <w:rPr>
          <w:i/>
          <w:iCs/>
        </w:rPr>
        <w:t xml:space="preserve">split</w:t>
      </w:r>
      <w:r>
        <w:t xml:space="preserve"> </w:t>
      </w:r>
      <w:r>
        <w:t xml:space="preserve">separates within-dataset</w:t>
      </w:r>
      <w:r>
        <w:t xml:space="preserve"> </w:t>
      </w:r>
      <w:r>
        <w:t xml:space="preserve">holdouts from cross-dataset and cross-study transfer;</w:t>
      </w:r>
      <w:r>
        <w:t xml:space="preserve"> </w:t>
      </w:r>
      <w:r>
        <w:rPr>
          <w:i/>
          <w:iCs/>
        </w:rPr>
        <w:t xml:space="preserve">genes</w:t>
      </w:r>
      <w:r>
        <w:t xml:space="preserve"> </w:t>
      </w:r>
      <w:r>
        <w:t xml:space="preserve">records whether the matrix is</w:t>
      </w:r>
      <w:r>
        <w:t xml:space="preserve"> </w:t>
      </w:r>
      <w:r>
        <w:t xml:space="preserve">keyed by Ensembl ids or by gene symbols, since a method or reference built on one convention</w:t>
      </w:r>
      <w:r>
        <w:t xml:space="preserve"> </w:t>
      </w:r>
      <w:r>
        <w:t xml:space="preserve">cannot read the other without remapping.</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brain set is the Allen Institute’s human</w:t>
      </w:r>
      <w:r>
        <w:t xml:space="preserve"> </w:t>
      </w:r>
      <w:r>
        <w:rPr>
          <w:b/>
          <w:bCs/>
        </w:rPr>
        <w:t xml:space="preserve">middle temporal gyrus</w:t>
      </w:r>
      <w:r>
        <w:t xml:space="preserve"> </w:t>
      </w:r>
      <w:r>
        <w:t xml:space="preserve">taxonomy [Jorstad</w:t>
      </w:r>
      <w:r>
        <w:t xml:space="preserve"> </w:t>
      </w:r>
      <w:r>
        <w:t xml:space="preserve">2023] — the only neural data in the panel, assayed as single nuclei, and the query the</w:t>
      </w:r>
      <w:r>
        <w:t xml:space="preserve"> </w:t>
      </w:r>
      <w:r>
        <w:t xml:space="preserve">multi-reference agreement experiment of §3.4 uses. It enters twice, at two levels of that one</w:t>
      </w:r>
      <w:r>
        <w:t xml:space="preserve"> </w:t>
      </w:r>
      <w:r>
        <w:t xml:space="preserve">taxonomy, because the two turn out to measure different things:</w:t>
      </w:r>
      <w:r>
        <w:t xml:space="preserve"> </w:t>
      </w:r>
      <w:r>
        <w:rPr>
          <w:rStyle w:val="VerbatimChar"/>
          <w:b/>
          <w:bCs/>
        </w:rPr>
        <w:t xml:space="preserve">Subclass</w:t>
      </w:r>
      <w:r>
        <w:t xml:space="preserve"> </w:t>
      </w:r>
      <w:r>
        <w:t xml:space="preserve">(24 types, ~300</w:t>
      </w:r>
      <w:r>
        <w:t xml:space="preserve"> </w:t>
      </w:r>
      <w:r>
        <w:t xml:space="preserve">cells each), the level the field treats as standard, and</w:t>
      </w:r>
      <w:r>
        <w:t xml:space="preserve"> </w:t>
      </w:r>
      <w:r>
        <w:rPr>
          <w:rStyle w:val="VerbatimChar"/>
          <w:b/>
          <w:bCs/>
        </w:rPr>
        <w:t xml:space="preserve">Cluster</w:t>
      </w:r>
      <w:r>
        <w:t xml:space="preserve"> </w:t>
      </w:r>
      <w:r>
        <w:t xml:space="preserve">(151 types, ~100 cells</w:t>
      </w:r>
      <w:r>
        <w:t xml:space="preserve"> </w:t>
      </w:r>
      <w:r>
        <w:t xml:space="preserve">each), the level whose members are the cell sets the CCN taxonomy</w:t>
      </w:r>
      <w:r>
        <w:t xml:space="preserve"> </w:t>
      </w:r>
      <w:r>
        <w:rPr>
          <w:rStyle w:val="VerbatimChar"/>
        </w:rPr>
        <w:t xml:space="preserve">CCN201908210</w:t>
      </w:r>
      <w:r>
        <w:t xml:space="preserve"> </w:t>
      </w:r>
      <w:r>
        <w:t xml:space="preserve">enumerates</w:t>
      </w:r>
      <w:r>
        <w:t xml:space="preserve"> </w:t>
      </w:r>
      <w:r>
        <w:t xml:space="preserve">and the highest cardinality in the panel. Only the 10x 3′ v3 nuclei are kept (141,782 of</w:t>
      </w:r>
      <w:r>
        <w:t xml:space="preserve"> </w:t>
      </w:r>
      <w:r>
        <w:t xml:space="preserve">156,285); the remaining Smart-seq v4 nuclei would put a full-length protocol on one side of a</w:t>
      </w:r>
      <w:r>
        <w:t xml:space="preserve"> </w:t>
      </w:r>
      <w:r>
        <w:t xml:space="preserve">within-dataset split.</w:t>
      </w:r>
    </w:p>
    <w:p>
      <w:pPr>
        <w:pStyle w:val="BodyText"/>
      </w:pPr>
      <w:r>
        <w:t xml:space="preserve">Neither level is the CELLxGENE</w:t>
      </w:r>
      <w:r>
        <w:t xml:space="preserve"> </w:t>
      </w:r>
      <w:r>
        <w:rPr>
          <w:rStyle w:val="VerbatimChar"/>
        </w:rPr>
        <w:t xml:space="preserve">cell_type</w:t>
      </w:r>
      <w:r>
        <w:t xml:space="preserve"> </w:t>
      </w:r>
      <w:r>
        <w:t xml:space="preserve">column, because the Cell Ontology cannot express</w:t>
      </w:r>
      <w:r>
        <w:t xml:space="preserve"> </w:t>
      </w:r>
      <w:r>
        <w:t xml:space="preserve">the distinctions this taxonomy is built on: CL collapses the five intratelencephalic</w:t>
      </w:r>
      <w:r>
        <w:t xml:space="preserve"> </w:t>
      </w:r>
      <w:r>
        <w:t xml:space="preserve">subclasses (</w:t>
      </w:r>
      <w:r>
        <w:rPr>
          <w:rStyle w:val="VerbatimChar"/>
        </w:rPr>
        <w:t xml:space="preserve">L2/3 IT</w:t>
      </w:r>
      <w:r>
        <w:t xml:space="preserve">,</w:t>
      </w:r>
      <w:r>
        <w:t xml:space="preserve"> </w:t>
      </w:r>
      <w:r>
        <w:rPr>
          <w:rStyle w:val="VerbatimChar"/>
        </w:rPr>
        <w:t xml:space="preserve">L4 IT</w:t>
      </w:r>
      <w:r>
        <w:t xml:space="preserve">,</w:t>
      </w:r>
      <w:r>
        <w:t xml:space="preserve"> </w:t>
      </w:r>
      <w:r>
        <w:rPr>
          <w:rStyle w:val="VerbatimChar"/>
        </w:rPr>
        <w:t xml:space="preserve">L5 IT</w:t>
      </w:r>
      <w:r>
        <w:t xml:space="preserve">,</w:t>
      </w:r>
      <w:r>
        <w:t xml:space="preserve"> </w:t>
      </w:r>
      <w:r>
        <w:rPr>
          <w:rStyle w:val="VerbatimChar"/>
        </w:rPr>
        <w:t xml:space="preserve">L6 IT</w:t>
      </w:r>
      <w:r>
        <w:t xml:space="preserve">,</w:t>
      </w:r>
      <w:r>
        <w:t xml:space="preserve"> </w:t>
      </w:r>
      <w:r>
        <w:rPr>
          <w:rStyle w:val="VerbatimChar"/>
        </w:rPr>
        <w:t xml:space="preserve">L6 IT Car3</w:t>
      </w:r>
      <w:r>
        <w:t xml:space="preserve">) into one term, and likewise</w:t>
      </w:r>
      <w:r>
        <w:t xml:space="preserve"> </w:t>
      </w:r>
      <w:r>
        <w:t xml:space="preserve">merges</w:t>
      </w:r>
      <w:r>
        <w:t xml:space="preserve"> </w:t>
      </w:r>
      <w:r>
        <w:rPr>
          <w:rStyle w:val="VerbatimChar"/>
        </w:rPr>
        <w:t xml:space="preserve">Lamp5</w:t>
      </w:r>
      <w:r>
        <w:t xml:space="preserve">/</w:t>
      </w:r>
      <w:r>
        <w:rPr>
          <w:rStyle w:val="VerbatimChar"/>
        </w:rPr>
        <w:t xml:space="preserve">Lamp5_Lhx6</w:t>
      </w:r>
      <w:r>
        <w:t xml:space="preserve"> </w:t>
      </w:r>
      <w:r>
        <w:t xml:space="preserve">and</w:t>
      </w:r>
      <w:r>
        <w:t xml:space="preserve"> </w:t>
      </w:r>
      <w:r>
        <w:rPr>
          <w:rStyle w:val="VerbatimChar"/>
        </w:rPr>
        <w:t xml:space="preserve">Sst</w:t>
      </w:r>
      <w:r>
        <w:t xml:space="preserve">/</w:t>
      </w:r>
      <w:r>
        <w:rPr>
          <w:rStyle w:val="VerbatimChar"/>
        </w:rPr>
        <w:t xml:space="preserve">Sst Chodl</w:t>
      </w:r>
      <w:r>
        <w:t xml:space="preserve">, leaving</w:t>
      </w:r>
      <w:r>
        <w:t xml:space="preserve"> </w:t>
      </w:r>
      <w:r>
        <w:rPr>
          <w:b/>
          <w:bCs/>
        </w:rPr>
        <w:t xml:space="preserve">18 terms for 24 subclasses</w:t>
      </w:r>
      <w:r>
        <w:t xml:space="preserve"> </w:t>
      </w:r>
      <w:r>
        <w:t xml:space="preserve">and</w:t>
      </w:r>
      <w:r>
        <w:t xml:space="preserve"> </w:t>
      </w:r>
      <w:r>
        <w:t xml:space="preserve">no terms at all for the 151 clusters. Scoring against the 18 would credit a method for</w:t>
      </w:r>
      <w:r>
        <w:t xml:space="preserve"> </w:t>
      </w:r>
      <w:r>
        <w:t xml:space="preserve">confusing cortical layers, so brain contributes accuracy and macro-F1 and — like blood+gut,</w:t>
      </w:r>
      <w:r>
        <w:t xml:space="preserve"> </w:t>
      </w:r>
      <w:r>
        <w:t xml:space="preserve">for a different reason — no ontology-scored result. That gap is the concrete form of the</w:t>
      </w:r>
      <w:r>
        <w:t xml:space="preserve"> </w:t>
      </w:r>
      <w:r>
        <w:t xml:space="preserve">nomenclature problem §3.4 returns to.</w:t>
      </w:r>
    </w:p>
    <w:p>
      <w:pPr>
        <w:pStyle w:val="BodyText"/>
      </w:pPr>
      <w:r>
        <w:t xml:space="preserve">The set spans the three generalization regimes (within-dataset, across datasets, across</w:t>
      </w:r>
      <w:r>
        <w:t xml:space="preserve"> </w:t>
      </w:r>
      <w:r>
        <w:t xml:space="preserve">studies), more than an order of magnitude in cell-type count (8→151), five tissues (lung,</w:t>
      </w:r>
      <w:r>
        <w:t xml:space="preserve"> </w:t>
      </w:r>
      <w:r>
        <w:t xml:space="preserve">liver, blood, gut, brain), whole cells and single nuclei,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w:t>
      </w:r>
      <w:r>
        <w:t xml:space="preserve"> </w:t>
      </w:r>
      <w:r>
        <w:t xml:space="preserve">though the lineage is correct and only the depth is wrong.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A third sweep runs the other way,</w:t>
      </w:r>
      <w:r>
        <w:t xml:space="preserve"> </w:t>
      </w:r>
      <w:r>
        <w:t xml:space="preserve">holding the reference fixed and growing the</w:t>
      </w:r>
      <w:r>
        <w:t xml:space="preserve"> </w:t>
      </w:r>
      <w:r>
        <w:rPr>
          <w:i/>
          <w:iCs/>
        </w:rPr>
        <w:t xml:space="preserve">query</w:t>
      </w:r>
      <w:r>
        <w:t xml:space="preserve"> </w:t>
      </w:r>
      <w:r>
        <w:t xml:space="preserve">to a whole 525k-cell atlas (§3.3,</w:t>
      </w:r>
      <w:r>
        <w:t xml:space="preserve"> </w:t>
      </w:r>
      <w:r>
        <w:t xml:space="preserve">Figure 4), which is the axis a reused reference is actually pointed along.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7"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non-brain datasets, ontology concordance the mean over the</w:t>
      </w:r>
      <w:r>
        <w:t xml:space="preserve"> </w:t>
      </w:r>
      <w:r>
        <w:t xml:space="preserve">four of those that carry Cell Ontology ids; cost is the mean per query (Table 3). The two brain splits are held</w:t>
      </w:r>
      <w:r>
        <w:t xml:space="preserve"> </w:t>
      </w:r>
      <w:r>
        <w:t xml:space="preserve">out of these aggregates and reported per dataset in Table 5 — the columns below come from one</w:t>
      </w:r>
      <w:r>
        <w:t xml:space="preserve"> </w:t>
      </w:r>
      <w:r>
        <w:t xml:space="preserve">measurement pass on an idle machine, and brain was run afterwards — but holding them out is</w:t>
      </w:r>
      <w:r>
        <w:t xml:space="preserve"> </w:t>
      </w:r>
      <w:r>
        <w:t xml:space="preserve">not free of consequence, so both directions are worth stating. Adding brain at subclass level</w:t>
      </w:r>
      <w:r>
        <w:t xml:space="preserve"> </w:t>
      </w:r>
      <w:r>
        <w:t xml:space="preserve">raises every method by 0.025–0.043 and reorders nothing. Adding both brain splits gives</w:t>
      </w:r>
      <w:r>
        <w:t xml:space="preserve"> </w:t>
      </w:r>
      <w:r>
        <w:t xml:space="preserve">accuracies over eight of linear-anova-pca 0.857, scANVI 0.855, scArches 0.853, CellTypist</w:t>
      </w:r>
      <w:r>
        <w:t xml:space="preserve"> </w:t>
      </w:r>
      <w:r>
        <w:t xml:space="preserve">0.848,</w:t>
      </w:r>
      <w:r>
        <w:t xml:space="preserve"> </w:t>
      </w:r>
      <w:r>
        <w:rPr>
          <w:b/>
          <w:bCs/>
        </w:rPr>
        <w:t xml:space="preserve">actinn-jax 0.840</w:t>
      </w:r>
      <w:r>
        <w:t xml:space="preserve">, SVM 0.837, ProtoCloud 0.817, SingleR 0.811, kNN 0.792, scTOP</w:t>
      </w:r>
      <w:r>
        <w:t xml:space="preserve"> </w:t>
      </w:r>
      <w:r>
        <w:t xml:space="preserve">0.775, scmap-cluster 0.706 — which moves actinn-jax from fourth to fifth, behind CellTypist:</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3.4</w:t>
            </w:r>
          </w:p>
        </w:tc>
        <w:tc>
          <w:tcPr/>
          <w:p>
            <w:pPr>
              <w:pStyle w:val="Compact"/>
              <w:jc w:val="right"/>
            </w:pPr>
            <w:r>
              <w:rPr>
                <w:b/>
                <w:bCs/>
              </w:rPr>
              <w:t xml:space="preserve">0.33</w:t>
            </w:r>
          </w:p>
        </w:tc>
        <w:tc>
          <w:tcPr/>
          <w:p>
            <w:pPr>
              <w:pStyle w:val="Compact"/>
              <w:jc w:val="right"/>
            </w:pPr>
            <w:r>
              <w:t xml:space="preserve">4386</w:t>
            </w:r>
          </w:p>
        </w:tc>
      </w:tr>
      <w:tr>
        <w:tc>
          <w:tcPr/>
          <w:p>
            <w:pPr>
              <w:pStyle w:val="Compact"/>
            </w:pPr>
            <w:r>
              <w:t xml:space="preserve">scArches</w:t>
            </w:r>
          </w:p>
        </w:tc>
        <w:tc>
          <w:tcPr/>
          <w:p>
            <w:pPr>
              <w:pStyle w:val="Compact"/>
              <w:jc w:val="right"/>
            </w:pPr>
            <w:r>
              <w:t xml:space="preserve">0.833</w:t>
            </w:r>
          </w:p>
        </w:tc>
        <w:tc>
          <w:tcPr/>
          <w:p>
            <w:pPr>
              <w:pStyle w:val="Compact"/>
              <w:jc w:val="right"/>
            </w:pPr>
            <w:r>
              <w:rPr>
                <w:b/>
                <w:bCs/>
              </w:rPr>
              <w:t xml:space="preserve">0.701</w:t>
            </w:r>
          </w:p>
        </w:tc>
        <w:tc>
          <w:tcPr/>
          <w:p>
            <w:pPr>
              <w:pStyle w:val="Compact"/>
              <w:jc w:val="right"/>
            </w:pPr>
            <w:r>
              <w:t xml:space="preserve">0.804</w:t>
            </w:r>
          </w:p>
        </w:tc>
        <w:tc>
          <w:tcPr/>
          <w:p>
            <w:pPr>
              <w:pStyle w:val="Compact"/>
              <w:jc w:val="right"/>
            </w:pPr>
            <w:r>
              <w:t xml:space="preserve">48.7</w:t>
            </w:r>
          </w:p>
        </w:tc>
        <w:tc>
          <w:tcPr/>
          <w:p>
            <w:pPr>
              <w:pStyle w:val="Compact"/>
              <w:jc w:val="right"/>
            </w:pPr>
            <w:r>
              <w:t xml:space="preserve">17.2</w:t>
            </w:r>
          </w:p>
        </w:tc>
        <w:tc>
          <w:tcPr/>
          <w:p>
            <w:pPr>
              <w:pStyle w:val="Compact"/>
              <w:jc w:val="right"/>
            </w:pPr>
            <w:r>
              <w:t xml:space="preserve">1773</w:t>
            </w:r>
          </w:p>
        </w:tc>
      </w:tr>
      <w:tr>
        <w:tc>
          <w:tcPr/>
          <w:p>
            <w:pPr>
              <w:pStyle w:val="Compact"/>
            </w:pPr>
            <w:r>
              <w:t xml:space="preserve">scANVI</w:t>
            </w:r>
          </w:p>
        </w:tc>
        <w:tc>
          <w:tcPr/>
          <w:p>
            <w:pPr>
              <w:pStyle w:val="Compact"/>
              <w:jc w:val="right"/>
            </w:pPr>
            <w:r>
              <w:t xml:space="preserve">0.832</w:t>
            </w:r>
          </w:p>
        </w:tc>
        <w:tc>
          <w:tcPr/>
          <w:p>
            <w:pPr>
              <w:pStyle w:val="Compact"/>
              <w:jc w:val="right"/>
            </w:pPr>
            <w:r>
              <w:t xml:space="preserve">0.698</w:t>
            </w:r>
          </w:p>
        </w:tc>
        <w:tc>
          <w:tcPr/>
          <w:p>
            <w:pPr>
              <w:pStyle w:val="Compact"/>
              <w:jc w:val="right"/>
            </w:pPr>
            <w:r>
              <w:t xml:space="preserve">0.808</w:t>
            </w:r>
          </w:p>
        </w:tc>
        <w:tc>
          <w:tcPr/>
          <w:p>
            <w:pPr>
              <w:pStyle w:val="Compact"/>
              <w:jc w:val="right"/>
            </w:pPr>
            <w:r>
              <w:t xml:space="preserve">0.0*</w:t>
            </w:r>
          </w:p>
        </w:tc>
        <w:tc>
          <w:tcPr/>
          <w:p>
            <w:pPr>
              <w:pStyle w:val="Compact"/>
              <w:jc w:val="right"/>
            </w:pPr>
            <w:r>
              <w:t xml:space="preserve">66.7</w:t>
            </w:r>
          </w:p>
        </w:tc>
        <w:tc>
          <w:tcPr/>
          <w:p>
            <w:pPr>
              <w:pStyle w:val="Compact"/>
              <w:jc w:val="right"/>
            </w:pPr>
            <w:r>
              <w:t xml:space="preserve">2087</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24.2</w:t>
            </w:r>
          </w:p>
        </w:tc>
        <w:tc>
          <w:tcPr/>
          <w:p>
            <w:pPr>
              <w:pStyle w:val="Compact"/>
              <w:jc w:val="right"/>
            </w:pPr>
            <w:r>
              <w:rPr>
                <w:b/>
                <w:bCs/>
              </w:rPr>
              <w:t xml:space="preserve">0.54</w:t>
            </w:r>
          </w:p>
        </w:tc>
        <w:tc>
          <w:tcPr/>
          <w:p>
            <w:pPr>
              <w:pStyle w:val="Compact"/>
              <w:jc w:val="right"/>
            </w:pPr>
            <w:r>
              <w:t xml:space="preserve">2391</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0.690</w:t>
            </w:r>
          </w:p>
        </w:tc>
        <w:tc>
          <w:tcPr/>
          <w:p>
            <w:pPr>
              <w:pStyle w:val="Compact"/>
              <w:jc w:val="right"/>
            </w:pPr>
            <w:r>
              <w:t xml:space="preserve">0.805</w:t>
            </w:r>
          </w:p>
        </w:tc>
        <w:tc>
          <w:tcPr/>
          <w:p>
            <w:pPr>
              <w:pStyle w:val="Compact"/>
              <w:jc w:val="right"/>
            </w:pPr>
            <w:r>
              <w:t xml:space="preserve">54.4</w:t>
            </w:r>
          </w:p>
        </w:tc>
        <w:tc>
          <w:tcPr/>
          <w:p>
            <w:pPr>
              <w:pStyle w:val="Compact"/>
              <w:jc w:val="right"/>
            </w:pPr>
            <w:r>
              <w:rPr>
                <w:b/>
                <w:bCs/>
              </w:rPr>
              <w:t xml:space="preserve">0.61</w:t>
            </w:r>
          </w:p>
        </w:tc>
        <w:tc>
          <w:tcPr/>
          <w:p>
            <w:pPr>
              <w:pStyle w:val="Compact"/>
              <w:jc w:val="right"/>
            </w:pPr>
            <w:r>
              <w:t xml:space="preserve">1569</w:t>
            </w:r>
          </w:p>
        </w:tc>
      </w:tr>
      <w:tr>
        <w:tc>
          <w:tcPr/>
          <w:p>
            <w:pPr>
              <w:pStyle w:val="Compact"/>
            </w:pPr>
            <w:r>
              <w:t xml:space="preserve">SVM</w:t>
            </w:r>
          </w:p>
        </w:tc>
        <w:tc>
          <w:tcPr/>
          <w:p>
            <w:pPr>
              <w:pStyle w:val="Compact"/>
              <w:jc w:val="right"/>
            </w:pPr>
            <w:r>
              <w:t xml:space="preserve">0.808</w:t>
            </w:r>
          </w:p>
        </w:tc>
        <w:tc>
          <w:tcPr/>
          <w:p>
            <w:pPr>
              <w:pStyle w:val="Compact"/>
              <w:jc w:val="right"/>
            </w:pPr>
            <w:r>
              <w:t xml:space="preserve">0.675</w:t>
            </w:r>
          </w:p>
        </w:tc>
        <w:tc>
          <w:tcPr/>
          <w:p>
            <w:pPr>
              <w:pStyle w:val="Compact"/>
              <w:jc w:val="right"/>
            </w:pPr>
            <w:r>
              <w:t xml:space="preserve">0.796</w:t>
            </w:r>
          </w:p>
        </w:tc>
        <w:tc>
          <w:tcPr/>
          <w:p>
            <w:pPr>
              <w:pStyle w:val="Compact"/>
              <w:jc w:val="right"/>
            </w:pPr>
            <w:r>
              <w:t xml:space="preserve">55.2</w:t>
            </w:r>
          </w:p>
        </w:tc>
        <w:tc>
          <w:tcPr/>
          <w:p>
            <w:pPr>
              <w:pStyle w:val="Compact"/>
              <w:jc w:val="right"/>
            </w:pPr>
            <w:r>
              <w:rPr>
                <w:b/>
                <w:bCs/>
              </w:rPr>
              <w:t xml:space="preserve">0.07</w:t>
            </w:r>
          </w:p>
        </w:tc>
        <w:tc>
          <w:tcPr/>
          <w:p>
            <w:pPr>
              <w:pStyle w:val="Compact"/>
              <w:jc w:val="right"/>
            </w:pPr>
            <w:r>
              <w:t xml:space="preserve">1419</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221.5</w:t>
            </w:r>
          </w:p>
        </w:tc>
        <w:tc>
          <w:tcPr/>
          <w:p>
            <w:pPr>
              <w:pStyle w:val="Compact"/>
              <w:jc w:val="right"/>
            </w:pPr>
            <w:r>
              <w:t xml:space="preserve">2.07</w:t>
            </w:r>
          </w:p>
        </w:tc>
        <w:tc>
          <w:tcPr/>
          <w:p>
            <w:pPr>
              <w:pStyle w:val="Compact"/>
              <w:jc w:val="right"/>
            </w:pPr>
            <w:r>
              <w:t xml:space="preserve">1907</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48.2</w:t>
            </w:r>
          </w:p>
        </w:tc>
        <w:tc>
          <w:tcPr/>
          <w:p>
            <w:pPr>
              <w:pStyle w:val="Compact"/>
              <w:jc w:val="right"/>
            </w:pPr>
            <w:r>
              <w:t xml:space="preserve">3612</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0.623</w:t>
            </w:r>
          </w:p>
        </w:tc>
        <w:tc>
          <w:tcPr/>
          <w:p>
            <w:pPr>
              <w:pStyle w:val="Compact"/>
              <w:jc w:val="right"/>
            </w:pPr>
            <w:r>
              <w:t xml:space="preserve">0.768</w:t>
            </w:r>
          </w:p>
        </w:tc>
        <w:tc>
          <w:tcPr/>
          <w:p>
            <w:pPr>
              <w:pStyle w:val="Compact"/>
              <w:jc w:val="right"/>
            </w:pPr>
            <w:r>
              <w:t xml:space="preserve">0.4</w:t>
            </w:r>
          </w:p>
        </w:tc>
        <w:tc>
          <w:tcPr/>
          <w:p>
            <w:pPr>
              <w:pStyle w:val="Compact"/>
              <w:jc w:val="right"/>
            </w:pPr>
            <w:r>
              <w:rPr>
                <w:b/>
                <w:bCs/>
              </w:rPr>
              <w:t xml:space="preserve">0.19</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1.21</w:t>
            </w:r>
          </w:p>
        </w:tc>
        <w:tc>
          <w:tcPr/>
          <w:p>
            <w:pPr>
              <w:pStyle w:val="Compact"/>
              <w:jc w:val="right"/>
            </w:pPr>
            <w:r>
              <w:t xml:space="preserve">1926</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0.3</w:t>
            </w:r>
          </w:p>
        </w:tc>
        <w:tc>
          <w:tcPr/>
          <w:p>
            <w:pPr>
              <w:pStyle w:val="Compact"/>
              <w:jc w:val="right"/>
            </w:pPr>
            <w:r>
              <w:t xml:space="preserve">9.30</w:t>
            </w:r>
          </w:p>
        </w:tc>
        <w:tc>
          <w:tcPr/>
          <w:p>
            <w:pPr>
              <w:pStyle w:val="Compact"/>
              <w:jc w:val="right"/>
            </w:pPr>
            <w:r>
              <w:t xml:space="preserve">8609</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non-brain datasets, ontology</w:t>
      </w:r>
      <w:r>
        <w:t xml:space="preserve"> </w:t>
      </w:r>
      <w:r>
        <w:t xml:space="preserve">concordance the mean over the four of those carrying Cell Ontology ids, and cost is the mean</w:t>
      </w:r>
      <w:r>
        <w:t xml:space="preserve"> </w:t>
      </w:r>
      <w:r>
        <w:t xml:space="preserve">per query. The two brain splits are reported per dataset in Table 5 instead (see above).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~205× in predict time</w:t>
      </w:r>
      <w:r>
        <w:t xml:space="preserve"> </w:t>
      </w:r>
      <w:r>
        <w:t xml:space="preserve">(0.33 s to 67 s) and</w:t>
      </w:r>
      <w:r>
        <w:t xml:space="preserve"> </w:t>
      </w:r>
      <w:r>
        <w:t xml:space="preserve">2.5× in memory. That accuracy span is not a ranking and should not be read as one: the</w:t>
      </w:r>
      <w:r>
        <w:t xml:space="preserve"> </w:t>
      </w:r>
      <w:r>
        <w:t xml:space="preserve">stochastic methods move further than 0.008 between identical reruns on their own — scANVI by</w:t>
      </w:r>
      <w:r>
        <w:t xml:space="preserve"> </w:t>
      </w:r>
      <w:r>
        <w:t xml:space="preserve">up to 0.056 across its three repeats — so which of the top four places second and which places</w:t>
      </w:r>
      <w:r>
        <w:t xml:space="preserve"> </w:t>
      </w:r>
      <w:r>
        <w:t xml:space="preserve">third is decided by seeds, not by method. The cost column is what separates them, and scANVI</w:t>
      </w:r>
      <w:r>
        <w:t xml:space="preserve"> </w:t>
      </w:r>
      <w:r>
        <w:t xml:space="preserve">is</w:t>
      </w:r>
      <w:r>
        <w:t xml:space="preserve"> </w:t>
      </w:r>
      <w:r>
        <w:rPr>
          <w:b/>
          <w:bCs/>
        </w:rPr>
        <w:t xml:space="preserve">123× slower than actinn-jax</w:t>
      </w:r>
      <w:r>
        <w:t xml:space="preserve"> </w:t>
      </w:r>
      <w:r>
        <w:t xml:space="preserve">at accuracy that is tied within that noise. The linear</w:t>
      </w:r>
      <w:r>
        <w:t xml:space="preserve"> </w:t>
      </w:r>
      <w:r>
        <w:t xml:space="preserve">pipeline is both the most accurate and the fastest to fit, and pays for it in memory — 4386 vs</w:t>
      </w:r>
      <w:r>
        <w:t xml:space="preserve"> </w:t>
      </w:r>
      <w:r>
        <w:t xml:space="preserve">2391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222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0.940</w:t>
            </w:r>
          </w:p>
        </w:tc>
      </w:tr>
      <w:tr>
        <w:tc>
          <w:tcPr/>
          <w:p>
            <w:pPr>
              <w:pStyle w:val="Compact"/>
            </w:pPr>
            <w:r>
              <w:t xml:space="preserve">brain, subclass (24 types)</w:t>
            </w:r>
          </w:p>
        </w:tc>
        <w:tc>
          <w:tcPr/>
          <w:p>
            <w:pPr>
              <w:pStyle w:val="Compact"/>
            </w:pPr>
            <w:r>
              <w:t xml:space="preserve">0.986</w:t>
            </w:r>
          </w:p>
        </w:tc>
        <w:tc>
          <w:tcPr/>
          <w:p>
            <w:pPr>
              <w:pStyle w:val="Compact"/>
            </w:pPr>
            <w:r>
              <w:t xml:space="preserve">ProtoCloud 0.991</w:t>
            </w:r>
          </w:p>
        </w:tc>
      </w:tr>
      <w:tr>
        <w:tc>
          <w:tcPr/>
          <w:p>
            <w:pPr>
              <w:pStyle w:val="Compact"/>
            </w:pPr>
            <w:r>
              <w:t xml:space="preserve">brain, cluster (151 types)‡</w:t>
            </w:r>
          </w:p>
        </w:tc>
        <w:tc>
          <w:tcPr/>
          <w:p>
            <w:pPr>
              <w:pStyle w:val="Compact"/>
            </w:pPr>
            <w:r>
              <w:t xml:space="preserve">0.741</w:t>
            </w:r>
          </w:p>
        </w:tc>
        <w:tc>
          <w:tcPr/>
          <w:p>
            <w:pPr>
              <w:pStyle w:val="Compact"/>
            </w:pPr>
            <w:r>
              <w:t xml:space="preserve">SingleR 0.845</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 ‡ the two brain rows are the same nuclei scored at two resolutions of the</w:t>
      </w:r>
      <w:r>
        <w:t xml:space="preserve"> </w:t>
      </w:r>
      <w:r>
        <w:t xml:space="preserve">same taxonomy; see below.</w:t>
      </w:r>
    </w:p>
    <w:p>
      <w:pPr>
        <w:pStyle w:val="BodyText"/>
      </w:pPr>
      <w:r>
        <w:t xml:space="preserve">No single method leads everywhere: ProtoCloud takes three splits, the linear pipeline two,</w:t>
      </w:r>
      <w:r>
        <w:t xml:space="preserve"> </w:t>
      </w:r>
      <w:r>
        <w:t xml:space="preserve">and actinn-jax, scArches and SingleR one apiece. actinn-jax leads the cross-study liver split —</w:t>
      </w:r>
      <w:r>
        <w:t xml:space="preserve"> </w:t>
      </w:r>
      <w:r>
        <w:t xml:space="preserve">the hardest generalization regime here, and the one closest to real reference mapping — and is</w:t>
      </w:r>
      <w:r>
        <w:t xml:space="preserve"> </w:t>
      </w:r>
      <w:r>
        <w:t xml:space="preserve">second on within-dataset liver, while trailing on lung, on the 86-type blood+gut set (−4.2 pt</w:t>
      </w:r>
      <w:r>
        <w:t xml:space="preserve"> </w:t>
      </w:r>
      <w:r>
        <w:t xml:space="preserve">to the linear pipeline), and on small-n pbmc. Outside brain, the spread across the leading</w:t>
      </w:r>
      <w:r>
        <w:t xml:space="preserve"> </w:t>
      </w:r>
      <w:r>
        <w:t xml:space="preserve">methods on any one dataset is 1–4 points, and scmap-cluster is the weakest on accuracy and</w:t>
      </w:r>
      <w:r>
        <w:t xml:space="preserve"> </w:t>
      </w:r>
      <w:r>
        <w:t xml:space="preserve">macro-F1 throughout (0.23 macro-F1 on liver_cross), though not on ontology concordance.</w:t>
      </w:r>
    </w:p>
    <w:p>
      <w:pPr>
        <w:pStyle w:val="BodyText"/>
      </w:pPr>
      <w:r>
        <w:rPr>
          <w:b/>
          <w:bCs/>
        </w:rPr>
        <w:t xml:space="preserve">The two brain splits are the same nuclei at two resolutions, and they behave like different</w:t>
      </w:r>
      <w:r>
        <w:rPr>
          <w:b/>
          <w:bCs/>
        </w:rPr>
        <w:t xml:space="preserve"> </w:t>
      </w:r>
      <w:r>
        <w:rPr>
          <w:b/>
          <w:bCs/>
        </w:rPr>
        <w:t xml:space="preserve">problems.</w:t>
      </w:r>
      <w:r>
        <w:t xml:space="preserve"> </w:t>
      </w:r>
      <w:r>
        <w:t xml:space="preserve">At Allen’s 24 subclasses the panel saturates: ten of the eleven methods fall inside</w:t>
      </w:r>
      <w:r>
        <w:t xml:space="preserve"> </w:t>
      </w:r>
      <w:r>
        <w:t xml:space="preserve">0.017 of each other (0.974–0.991, with scmap-cluster alone below at 0.901), and no method</w:t>
      </w:r>
      <w:r>
        <w:t xml:space="preserve"> </w:t>
      </w:r>
      <w:r>
        <w:t xml:space="preserve">moves more than 0.003 between repeats. That row records that cortical subclasses are separable, not that any</w:t>
      </w:r>
      <w:r>
        <w:t xml:space="preserve"> </w:t>
      </w:r>
      <w:r>
        <w:t xml:space="preserve">method is better at finding them. At the 151 clusters the ranking</w:t>
      </w:r>
      <w:r>
        <w:t xml:space="preserve"> </w:t>
      </w:r>
      <w:r>
        <w:rPr>
          <w:b/>
          <w:bCs/>
        </w:rPr>
        <w:t xml:space="preserve">inverts</w:t>
      </w:r>
      <w:r>
        <w:t xml:space="preserve">. SingleR leads at</w:t>
      </w:r>
      <w:r>
        <w:t xml:space="preserve"> </w:t>
      </w:r>
      <w:r>
        <w:t xml:space="preserve">0.845, having placed eighth of eleven overall; scmap-cluster, last everywhere else at 0.646,</w:t>
      </w:r>
      <w:r>
        <w:t xml:space="preserve"> </w:t>
      </w:r>
      <w:r>
        <w:t xml:space="preserve">reaches 0.810; and actinn-jax falls to 0.741, tenth. The two correlation methods gain exactly</w:t>
      </w:r>
      <w:r>
        <w:t xml:space="preserve"> </w:t>
      </w:r>
      <w:r>
        <w:t xml:space="preserve">where the trained classifiers lose.</w:t>
      </w:r>
    </w:p>
    <w:p>
      <w:pPr>
        <w:pStyle w:val="BodyText"/>
      </w:pPr>
      <w:r>
        <w:t xml:space="preserve">Three things this is</w:t>
      </w:r>
      <w:r>
        <w:t xml:space="preserve"> </w:t>
      </w:r>
      <w:r>
        <w:rPr>
          <w:i/>
          <w:iCs/>
        </w:rPr>
        <w:t xml:space="preserve">not</w:t>
      </w:r>
      <w:r>
        <w:t xml:space="preserve">. It is not a configuration artifact: every method ran at the same</w:t>
      </w:r>
      <w:r>
        <w:t xml:space="preserve"> </w:t>
      </w:r>
      <w:r>
        <w:t xml:space="preserve">defaults as on the other six splits. It is not underfitting — raising actinn-jax’s 50 training</w:t>
      </w:r>
      <w:r>
        <w:t xml:space="preserve"> </w:t>
      </w:r>
      <w:r>
        <w:t xml:space="preserve">epochs to 150 and then 400 moves it 0.741 → 0.746 → 0.747, so eight times the training buys</w:t>
      </w:r>
      <w:r>
        <w:t xml:space="preserve"> </w:t>
      </w:r>
      <w:r>
        <w:t xml:space="preserve">0.006. And it is not simply a thin reference: this split gives 72 reference nuclei per class</w:t>
      </w:r>
      <w:r>
        <w:t xml:space="preserve"> </w:t>
      </w:r>
      <w:r>
        <w:t xml:space="preserve">against 89 on blood+gut, where actinn-jax scores 0.860. What is left is cardinality itself, and</w:t>
      </w:r>
      <w:r>
        <w:t xml:space="preserve"> </w:t>
      </w:r>
      <w:r>
        <w:t xml:space="preserve">one property of the labels that deserves stating plainly —</w:t>
      </w:r>
      <w:r>
        <w:t xml:space="preserve"> </w:t>
      </w:r>
      <w:r>
        <w:rPr>
          <w:b/>
          <w:bCs/>
        </w:rPr>
        <w:t xml:space="preserve">cluster-level labels are the output</w:t>
      </w:r>
      <w:r>
        <w:rPr>
          <w:b/>
          <w:bCs/>
        </w:rPr>
        <w:t xml:space="preserve"> </w:t>
      </w:r>
      <w:r>
        <w:rPr>
          <w:b/>
          <w:bCs/>
        </w:rPr>
        <w:t xml:space="preserve">of clustering this same expression space</w:t>
      </w:r>
      <w:r>
        <w:t xml:space="preserve">, so scoring nearest-centroid methods against them</w:t>
      </w:r>
      <w:r>
        <w:t xml:space="preserve"> </w:t>
      </w:r>
      <w:r>
        <w:t xml:space="preserve">measures them partly against their own inductive bias. Whether that is a flaw in the benchmark</w:t>
      </w:r>
      <w:r>
        <w:t xml:space="preserve"> </w:t>
      </w:r>
      <w:r>
        <w:t xml:space="preserve">or a fact about fine-grained annotation depends on where the labels a user actually has come</w:t>
      </w:r>
      <w:r>
        <w:t xml:space="preserve"> </w:t>
      </w:r>
      <w:r>
        <w:t xml:space="preserve">from, and for taxonomies like this one they come from exactly this procedure. Methods also</w:t>
      </w:r>
      <w:r>
        <w:t xml:space="preserve"> </w:t>
      </w:r>
      <w:r>
        <w:t xml:space="preserve">disagree about</w:t>
      </w:r>
      <w:r>
        <w:t xml:space="preserve"> </w:t>
      </w:r>
      <w:r>
        <w:rPr>
          <w:i/>
          <w:iCs/>
        </w:rPr>
        <w:t xml:space="preserve">which</w:t>
      </w:r>
      <w:r>
        <w:t xml:space="preserve"> </w:t>
      </w:r>
      <w:r>
        <w:t xml:space="preserve">clusters are hard (Supplementary Figure S5): median best-minus-worst</w:t>
      </w:r>
      <w:r>
        <w:t xml:space="preserve"> </w:t>
      </w:r>
      <w:r>
        <w:t xml:space="preserve">recall 0.32 per class, mean pairwise Spearman 0.61, concentrated in the graded</w:t>
      </w:r>
      <w:r>
        <w:t xml:space="preserve"> </w:t>
      </w:r>
      <w:r>
        <w:rPr>
          <w:rStyle w:val="VerbatimChar"/>
        </w:rPr>
        <w:t xml:space="preserve">L2/3 IT</w:t>
      </w:r>
      <w:r>
        <w:t xml:space="preserve">,</w:t>
      </w:r>
      <w:r>
        <w:t xml:space="preserve"> </w:t>
      </w:r>
      <w:r>
        <w:rPr>
          <w:rStyle w:val="VerbatimChar"/>
        </w:rPr>
        <w:t xml:space="preserve">Sst</w:t>
      </w:r>
      <w:r>
        <w:t xml:space="preserve"> </w:t>
      </w:r>
      <w:r>
        <w:t xml:space="preserve">and</w:t>
      </w:r>
      <w:r>
        <w:t xml:space="preserve"> </w:t>
      </w:r>
      <w:r>
        <w:rPr>
          <w:rStyle w:val="VerbatimChar"/>
        </w:rPr>
        <w:t xml:space="preserve">Vip</w:t>
      </w:r>
      <w:r>
        <w:t xml:space="preserve"> </w:t>
      </w:r>
      <w:r>
        <w:t xml:space="preserve">families rather than in the rare classes.</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2668748"/>
            <wp:effectExtent b="0" l="0" r="0" t="0"/>
            <wp:docPr descr="accuracy and cost across every split" title="" id="49" name="Picture"/>
            <a:graphic>
              <a:graphicData uri="http://schemas.openxmlformats.org/drawingml/2006/picture">
                <pic:pic>
                  <pic:nvPicPr>
                    <pic:cNvPr descr="/Users/iandriver/Downloads/actinn-jax-benchmark/docs/figures/fig_cost_accuracy_ranges.png" id="50" name="Picture"/>
                    <pic:cNvPicPr>
                      <a:picLocks noChangeArrowheads="1" noChangeAspect="1"/>
                    </pic:cNvPicPr>
                  </pic:nvPicPr>
                  <pic:blipFill>
                    <a:blip r:embed="rId48"/>
                    <a:stretch>
                      <a:fillRect/>
                    </a:stretch>
                  </pic:blipFill>
                  <pic:spPr bwMode="auto">
                    <a:xfrm>
                      <a:off x="0" y="0"/>
                      <a:ext cx="5334000" cy="2668748"/>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Eleven methods over seven splits (lung_cross excluded, see the † note above).</w:t>
      </w:r>
      <w:r>
        <w:t xml:space="preserve"> </w:t>
      </w:r>
      <w:r>
        <w:rPr>
          <w:i/>
          <w:iCs/>
        </w:rPr>
        <w:t xml:space="preserve">A:</w:t>
      </w:r>
      <w:r>
        <w:t xml:space="preserve"> </w:t>
      </w:r>
      <w:r>
        <w:t xml:space="preserve">accuracy as the</w:t>
      </w:r>
      <w:r>
        <w:t xml:space="preserve"> </w:t>
      </w:r>
      <w:r>
        <w:rPr>
          <w:b/>
          <w:bCs/>
        </w:rPr>
        <w:t xml:space="preserve">gap to whichever method leads that split</w:t>
      </w:r>
      <w:r>
        <w:t xml:space="preserve">. Raw accuracy is dominated by</w:t>
      </w:r>
      <w:r>
        <w:t xml:space="preserve"> </w:t>
      </w:r>
      <w:r>
        <w:t xml:space="preserve">how hard a split is — 0.94 on pbmc against 0.36 on cross-dataset lung — so a range drawn over</w:t>
      </w:r>
      <w:r>
        <w:t xml:space="preserve"> </w:t>
      </w:r>
      <w:r>
        <w:t xml:space="preserve">raw accuracy would measure the datasets rather than the methods; zero is that split’s leader,</w:t>
      </w:r>
      <w:r>
        <w:t xml:space="preserve"> </w:t>
      </w:r>
      <w:r>
        <w:t xml:space="preserve">and</w:t>
      </w:r>
      <w:r>
        <w:t xml:space="preserve"> </w:t>
      </w:r>
      <w:r>
        <w:rPr>
          <w:rStyle w:val="VerbatimChar"/>
        </w:rPr>
        <w:t xml:space="preserve">leads N</w:t>
      </w:r>
      <w:r>
        <w:t xml:space="preserve"> </w:t>
      </w:r>
      <w:r>
        <w:t xml:space="preserve">counts the splits a method wins.</w:t>
      </w:r>
      <w:r>
        <w:t xml:space="preserve"> </w:t>
      </w:r>
      <w:r>
        <w:rPr>
          <w:i/>
          <w:iCs/>
        </w:rPr>
        <w:t xml:space="preserve">B:</w:t>
      </w:r>
      <w:r>
        <w:t xml:space="preserve"> </w:t>
      </w:r>
      <w:r>
        <w:t xml:space="preserve">fit + predict on the same splits, log</w:t>
      </w:r>
      <w:r>
        <w:t xml:space="preserve"> </w:t>
      </w:r>
      <w:r>
        <w:t xml:space="preserve">scale. Diamonds are means over splits, small dots the individual splits, and the line runs from</w:t>
      </w:r>
      <w:r>
        <w:t xml:space="preserve"> </w:t>
      </w:r>
      <w:r>
        <w:t xml:space="preserve">the method’s worst split to its best. Ranges over the three repeats</w:t>
      </w:r>
      <w:r>
        <w:t xml:space="preserve"> </w:t>
      </w:r>
      <w:r>
        <w:rPr>
          <w:i/>
          <w:iCs/>
        </w:rPr>
        <w:t xml:space="preserve">within</w:t>
      </w:r>
      <w:r>
        <w:t xml:space="preserve"> </w:t>
      </w:r>
      <w:r>
        <w:t xml:space="preserve">a split are too</w:t>
      </w:r>
      <w:r>
        <w:t xml:space="preserve"> </w:t>
      </w:r>
      <w:r>
        <w:t xml:space="preserve">small to draw here: only scANVI (0.056) and scArches (0.020) move more than 0.009, and five</w:t>
      </w:r>
      <w:r>
        <w:t xml:space="preserve"> </w:t>
      </w:r>
      <w:r>
        <w:t xml:space="preserve">methods are exactly deterministic. Per-split detail, unnormalized and with those repeat ranges,</w:t>
      </w:r>
      <w:r>
        <w:t xml:space="preserve"> </w:t>
      </w:r>
      <w:r>
        <w:t xml:space="preserve">is Supplementary Figure S11.</w:t>
      </w:r>
    </w:p>
    <w:p>
      <w:pPr>
        <w:pStyle w:val="BodyText"/>
      </w:pPr>
      <w:r>
        <w:t xml:space="preserve">Six methods sit within</w:t>
      </w:r>
      <w:r>
        <w:t xml:space="preserve"> </w:t>
      </w:r>
      <w:r>
        <w:rPr>
          <w:b/>
          <w:bCs/>
        </w:rPr>
        <w:t xml:space="preserve">0.035</w:t>
      </w:r>
      <w:r>
        <w:t xml:space="preserve"> </w:t>
      </w:r>
      <w:r>
        <w:t xml:space="preserve">of the per-split leader on average while spanning</w:t>
      </w:r>
      <w:r>
        <w:t xml:space="preserve"> </w:t>
      </w:r>
      <w:r>
        <w:rPr>
          <w:b/>
          <w:bCs/>
        </w:rPr>
        <w:t xml:space="preserve">3.4 s to</w:t>
      </w:r>
      <w:r>
        <w:rPr>
          <w:b/>
          <w:bCs/>
        </w:rPr>
        <w:t xml:space="preserve"> </w:t>
      </w:r>
      <w:r>
        <w:rPr>
          <w:b/>
          <w:bCs/>
        </w:rPr>
        <w:t xml:space="preserve">57 s</w:t>
      </w:r>
      <w:r>
        <w:t xml:space="preserve">, and the full panel spans</w:t>
      </w:r>
      <w:r>
        <w:t xml:space="preserve"> </w:t>
      </w:r>
      <w:r>
        <w:rPr>
          <w:b/>
          <w:bCs/>
        </w:rPr>
        <w:t xml:space="preserve">0.5 s to 178 s</w:t>
      </w:r>
      <w:r>
        <w:t xml:space="preserve"> </w:t>
      </w:r>
      <w:r>
        <w:t xml:space="preserve">— the paper’s central observation, drawn</w:t>
      </w:r>
      <w:r>
        <w:t xml:space="preserve"> </w:t>
      </w:r>
      <w:r>
        <w:t xml:space="preserve">once. The</w:t>
      </w:r>
      <w:r>
        <w:t xml:space="preserve"> </w:t>
      </w:r>
      <w:r>
        <w:rPr>
          <w:b/>
          <w:bCs/>
        </w:rPr>
        <w:t xml:space="preserve">tuned linear pipeline</w:t>
      </w:r>
      <w:r>
        <w:t xml:space="preserve"> </w:t>
      </w:r>
      <w:r>
        <w:t xml:space="preserve">is both closest to the leader (mean gap 0.014, leading two</w:t>
      </w:r>
      <w:r>
        <w:t xml:space="preserve"> </w:t>
      </w:r>
      <w:r>
        <w:t xml:space="preserve">splits) and the cheapest of that group at 3.4 s; kNN and scTOP are faster still, at 0.5 s and</w:t>
      </w:r>
      <w:r>
        <w:t xml:space="preserve"> </w:t>
      </w:r>
      <w:r>
        <w:t xml:space="preserve">2.2 s, but give up 0.08 and 0.10, so they hold a different corner of the frontier rather than</w:t>
      </w:r>
      <w:r>
        <w:t xml:space="preserve"> </w:t>
      </w:r>
      <w:r>
        <w:t xml:space="preserve">sitting inside it. The deep methods buy little on accuracy — scANVI and scArches place second</w:t>
      </w:r>
      <w:r>
        <w:t xml:space="preserve"> </w:t>
      </w:r>
      <w:r>
        <w:t xml:space="preserve">and third by gap, 0.003 and 0.004 behind the linear pipeline, which is inside their own rerun</w:t>
      </w:r>
      <w:r>
        <w:t xml:space="preserve"> </w:t>
      </w:r>
      <w:r>
        <w:t xml:space="preserve">noise — and pay 15× its total time for that.</w:t>
      </w:r>
      <w:r>
        <w:t xml:space="preserve"> </w:t>
      </w:r>
      <w:r>
        <w:rPr>
          <w:b/>
          <w:bCs/>
        </w:rPr>
        <w:t xml:space="preserve">actinn-jax</w:t>
      </w:r>
      <w:r>
        <w:t xml:space="preserve"> </w:t>
      </w:r>
      <w:r>
        <w:t xml:space="preserve">sits mid-panel: mean gap 0.031 at</w:t>
      </w:r>
      <w:r>
        <w:t xml:space="preserve"> </w:t>
      </w:r>
      <w:r>
        <w:t xml:space="preserve">17.9 s, leading the cross-study liver split. What separates it is not on this plot at all but</w:t>
      </w:r>
      <w:r>
        <w:t xml:space="preserve"> </w:t>
      </w:r>
      <w:r>
        <w:t xml:space="preserve">on the scaling axes of §3.3 — predict time flat in reference size, and ~2× lower peak memory</w:t>
      </w:r>
      <w:r>
        <w:t xml:space="preserve"> </w:t>
      </w:r>
      <w:r>
        <w:t xml:space="preserve">that holds to atlas scale.</w:t>
      </w:r>
    </w:p>
    <w:p>
      <w:pPr>
        <w:pStyle w:val="BodyText"/>
      </w:pPr>
      <w:r>
        <w:t xml:space="preserve">The ranges are the other half of the figure. Every method’s spread across splits is larger than</w:t>
      </w:r>
      <w:r>
        <w:t xml:space="preserve"> </w:t>
      </w:r>
      <w:r>
        <w:t xml:space="preserve">the distance between the leading methods, and it is asymmetric: scmap-cluster spans 0.035 to</w:t>
      </w:r>
      <w:r>
        <w:t xml:space="preserve"> </w:t>
      </w:r>
      <w:r>
        <w:t xml:space="preserve">0.451, SingleR 0.000 to 0.191, actinn-jax 0.000 to 0.104. A mean rank over a panel of datasets</w:t>
      </w:r>
      <w:r>
        <w:t xml:space="preserve"> </w:t>
      </w:r>
      <w:r>
        <w:t xml:space="preserve">is therefore a much weaker summary than it looks, which is the same caution Table 3’s aggregate</w:t>
      </w:r>
      <w:r>
        <w:t xml:space="preserve"> </w:t>
      </w:r>
      <w:r>
        <w:t xml:space="preserve">carries.</w:t>
      </w:r>
    </w:p>
    <w:bookmarkEnd w:id="51"/>
    <w:bookmarkStart w:id="61" w:name="scaling"/>
    <w:p>
      <w:pPr>
        <w:pStyle w:val="Heading2"/>
      </w:pPr>
      <w:r>
        <w:t xml:space="preserve">Scaling</w:t>
      </w:r>
    </w:p>
    <w:p>
      <w:pPr>
        <w:pStyle w:val="FirstParagraph"/>
      </w:pPr>
      <w:r>
        <w:drawing>
          <wp:inline>
            <wp:extent cx="5334000" cy="3539981"/>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3539981"/>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for the six</w:t>
      </w:r>
      <w:r>
        <w:t xml:space="preserve"> </w:t>
      </w:r>
      <w:r>
        <w:t xml:space="preserve">CPU methods. Fit grows with both axes for every trained method, steeply for CellTypist and the</w:t>
      </w:r>
      <w:r>
        <w:t xml:space="preserve"> </w:t>
      </w:r>
      <w:r>
        <w:t xml:space="preserve">SVM. Predict is flat in reference size for all six, so that flatness is a property of cached</w:t>
      </w:r>
      <w:r>
        <w:t xml:space="preserve"> </w:t>
      </w:r>
      <w:r>
        <w:t xml:space="preserve">inference generally rather than of any one method; the axis that separates them is cardinality,</w:t>
      </w:r>
      <w:r>
        <w:t xml:space="preserve"> </w:t>
      </w:r>
      <w:r>
        <w:t xml:space="preserve">where actinn-jax rises 3.2× from 5 to 86 types against the tuned linear pipeline’s 11.9×, the</w:t>
      </w:r>
      <w:r>
        <w:t xml:space="preserve"> </w:t>
      </w:r>
      <w:r>
        <w:t xml:space="preserve">two meeting at ~0.30 s. SVM and kNN predict faster than either throughout. scTOP’s</w:t>
      </w:r>
      <w:r>
        <w:t xml:space="preserve"> </w:t>
      </w:r>
      <w:r>
        <w:t xml:space="preserve">smallest-reference point carries one-time import cost and is not a scaling effect.</w:t>
      </w:r>
    </w:p>
    <w:p>
      <w:pPr>
        <w:pStyle w:val="BodyText"/>
      </w:pPr>
      <w:r>
        <w:t xml:space="preserve">Fit time grows with reference size and with #cell types for all trained methods —</w:t>
      </w:r>
      <w:r>
        <w:t xml:space="preserve"> </w:t>
      </w:r>
      <w:r>
        <w:t xml:space="preserve">actinn-jax’s fit goes 3 s → 17 s → 29 s as the reference grows 965 → 14.8k → 24k cells, below</w:t>
      </w:r>
      <w:r>
        <w:t xml:space="preserve"> </w:t>
      </w:r>
      <w:r>
        <w:t xml:space="preserve">CellTypist (7 s → 68 s → 123 s) and SVM (4 s → 54 s → 89 s) at every size in the sweep, and</w:t>
      </w:r>
      <w:r>
        <w:t xml:space="preserve"> </w:t>
      </w:r>
      <w:r>
        <w:t xml:space="preserve">above the tuned linear pipeline (2 s → 10 s → 19 s); kNN does no work at fit time beyond</w:t>
      </w:r>
      <w:r>
        <w:t xml:space="preserve"> </w:t>
      </w:r>
      <w:r>
        <w:t xml:space="preserve">storing the reference, so all of its cost lands on predict, where it is also the least accurate</w:t>
      </w:r>
      <w:r>
        <w:t xml:space="preserve"> </w:t>
      </w:r>
      <w:r>
        <w:t xml:space="preserve">method here.</w:t>
      </w:r>
    </w:p>
    <w:p>
      <w:pPr>
        <w:pStyle w:val="BodyText"/>
      </w:pPr>
      <w:r>
        <w:t xml:space="preserve">On the other axis,</w:t>
      </w:r>
      <w:r>
        <w:t xml:space="preserve"> </w:t>
      </w:r>
      <w:r>
        <w:rPr>
          <w:b/>
          <w:bCs/>
        </w:rPr>
        <w:t xml:space="preserve">predict stays sub-second for every method across the whole sweep</w:t>
      </w:r>
      <w:r>
        <w:t xml:space="preserve">, and</w:t>
      </w:r>
      <w:r>
        <w:t xml:space="preserve"> </w:t>
      </w:r>
      <w:r>
        <w:t xml:space="preserve">the first thing to say is that flatness in reference size does not distinguish anything: all</w:t>
      </w:r>
      <w:r>
        <w:t xml:space="preserve"> </w:t>
      </w:r>
      <w:r>
        <w:t xml:space="preserve">six move by 1.2–1.9× while the reference grows twenty-five-fold, because a cached model’s</w:t>
      </w:r>
      <w:r>
        <w:t xml:space="preserve"> </w:t>
      </w:r>
      <w:r>
        <w:t xml:space="preserve">inference does not depend on how many cells trained it. Cardinality is where they part.</w:t>
      </w:r>
      <w:r>
        <w:t xml:space="preserve"> </w:t>
      </w:r>
      <w:r>
        <w:t xml:space="preserve">actinn-jax rises 3.2× from 5 to 86 types (0.09 → 0.30 s); the tuned linear pipeline starts</w:t>
      </w:r>
      <w:r>
        <w:t xml:space="preserve"> </w:t>
      </w:r>
      <w:r>
        <w:t xml:space="preserve">three and a half times cheaper and rises 11.9× (0.03 → 0.31 s), so the two arrive at the same</w:t>
      </w:r>
      <w:r>
        <w:t xml:space="preserve"> </w:t>
      </w:r>
      <w:r>
        <w:t xml:space="preserve">place; scTOP rises 11.0×. Neither of the two cheapest is ours — SVM (0.015–0.076 s) and kNN</w:t>
      </w:r>
      <w:r>
        <w:t xml:space="preserve"> </w:t>
      </w:r>
      <w:r>
        <w:t xml:space="preserve">(0.021–0.263 s) predict faster than actinn-jax everywhere, and pay for it in accuracy (Table 3).</w:t>
      </w:r>
    </w:p>
    <w:p>
      <w:pPr>
        <w:pStyle w:val="BodyText"/>
      </w:pPr>
      <w:r>
        <w:t xml:space="preserve">What the cached reference buys is therefore not a uniquely flat predict but the right</w:t>
      </w:r>
      <w:r>
        <w:t xml:space="preserve"> </w:t>
      </w:r>
      <w:r>
        <w:rPr>
          <w:i/>
          <w:iCs/>
        </w:rPr>
        <w:t xml:space="preserve">ratio</w:t>
      </w:r>
      <w:r>
        <w:t xml:space="preserve">:</w:t>
      </w:r>
      <w:r>
        <w:t xml:space="preserve"> </w:t>
      </w:r>
      <w:r>
        <w:t xml:space="preserve">a sub-second call recurring against a fit of 19–123 s that is paid once. That is the regime</w:t>
      </w:r>
      <w:r>
        <w:t xml:space="preserve"> </w:t>
      </w:r>
      <w:r>
        <w:t xml:space="preserve">that matters when one reference serves many queries, and it is what makes chaining several</w:t>
      </w:r>
      <w:r>
        <w:t xml:space="preserve"> </w:t>
      </w:r>
      <w:r>
        <w:t xml:space="preserve">annotation stages practical; it would be as true of the linear pipeline if it cached its</w:t>
      </w:r>
      <w:r>
        <w:t xml:space="preserve"> </w:t>
      </w:r>
      <w:r>
        <w:t xml:space="preserve">scaler, PCA and classifier rather than refitting them per query.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little from scale on lung (0.819 → 0.846, barely outside its</w:t>
      </w:r>
      <w:r>
        <w:t xml:space="preserve"> </w:t>
      </w:r>
      <w:r>
        <w:t xml:space="preserve">interval) and loses ground on liver (0.657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Error bars on</w:t>
      </w:r>
      <w:r>
        <w:t xml:space="preserve"> </w:t>
      </w:r>
      <w:r>
        <w:rPr>
          <w:i/>
          <w:iCs/>
        </w:rPr>
        <w:t xml:space="preserve">A</w:t>
      </w:r>
      <w:r>
        <w:t xml:space="preserve"> </w:t>
      </w:r>
      <w:r>
        <w:t xml:space="preserve">and</w:t>
      </w:r>
      <w:r>
        <w:t xml:space="preserve"> </w:t>
      </w:r>
      <w:r>
        <w:rPr>
          <w:i/>
          <w:iCs/>
        </w:rPr>
        <w:t xml:space="preserve">B</w:t>
      </w:r>
      <w:r>
        <w:t xml:space="preserve"> </w:t>
      </w:r>
      <w:r>
        <w:t xml:space="preserve">are 95% binomial intervals on the query, which grows with</w:t>
      </w:r>
      <w:r>
        <w:t xml:space="preserve"> </w:t>
      </w:r>
      <w:r>
        <w:t xml:space="preserve">the reference (1,035 to 16,398 cells on lung), so they narrow from left to right; each point</w:t>
      </w:r>
      <w:r>
        <w:t xml:space="preserve"> </w:t>
      </w:r>
      <w:r>
        <w:t xml:space="preserve">is a single run, so they cover sampling of the query and not run-to-run variation. Peak memory</w:t>
      </w:r>
      <w:r>
        <w:t xml:space="preserve"> </w:t>
      </w:r>
      <w:r>
        <w:t xml:space="preserve">is not a proportion and carries none. Fit time is not plotted: the 47k liver point was measured</w:t>
      </w:r>
      <w:r>
        <w:t xml:space="preserve"> </w:t>
      </w:r>
      <w:r>
        <w:t xml:space="preserve">under CPU contention, so a cost axis there would report scheduling rather than scaling.</w:t>
      </w:r>
    </w:p>
    <w:p>
      <w:pPr>
        <w:pStyle w:val="BodyText"/>
      </w:pPr>
      <w:r>
        <w:rPr>
          <w:b/>
          <w:bCs/>
        </w:rPr>
        <w:t xml:space="preserve">Annotating an atlas costs less than building one.</w:t>
      </w:r>
      <w:r>
        <w:t xml:space="preserve"> </w:t>
      </w:r>
      <w:r>
        <w:t xml:space="preserve">The sweeps above grow the reference</w:t>
      </w:r>
      <w:r>
        <w:t xml:space="preserve"> </w:t>
      </w:r>
      <w:r>
        <w:t xml:space="preserve">and hold the query fixed. The reverse case is the one a user meets most often – a reference</w:t>
      </w:r>
      <w:r>
        <w:t xml:space="preserve"> </w:t>
      </w:r>
      <w:r>
        <w:t xml:space="preserve">built once, then pointed at everything – and it is where a flat inference profile should</w:t>
      </w:r>
      <w:r>
        <w:t xml:space="preserve"> </w:t>
      </w:r>
      <w:r>
        <w:t xml:space="preserve">pay. Holding the reference at 17,753 cells drawn from seven HLiCA studies and growing the</w:t>
      </w:r>
      <w:r>
        <w:t xml:space="preserve"> </w:t>
      </w:r>
      <w:r>
        <w:t xml:space="preserve">query from 50k cells to the entire 524,699-cell atlas, actinn-jax annotates the whole atlas</w:t>
      </w:r>
      <w:r>
        <w:t xml:space="preserve"> </w:t>
      </w:r>
      <w:r>
        <w:t xml:space="preserve">in</w:t>
      </w:r>
      <w:r>
        <w:t xml:space="preserve"> </w:t>
      </w:r>
      <w:r>
        <w:rPr>
          <w:b/>
          <w:bCs/>
        </w:rPr>
        <w:t xml:space="preserve">41 s</w:t>
      </w:r>
      <w:r>
        <w:t xml:space="preserve"> </w:t>
      </w:r>
      <w:r>
        <w:t xml:space="preserve">(Figure 4A). Accuracy on the withheld eighth study is 0.720 and does not move</w:t>
      </w:r>
      <w:r>
        <w:t xml:space="preserve"> </w:t>
      </w:r>
      <w:r>
        <w:t xml:space="preserve">across the range, as it should not: the subsets are nested.</w:t>
      </w:r>
    </w:p>
    <w:p>
      <w:pPr>
        <w:pStyle w:val="BodyText"/>
      </w:pPr>
      <w:r>
        <w:t xml:space="preserve">The tuned linear pipeline stays three to four times slower throughout, annotating the same</w:t>
      </w:r>
      <w:r>
        <w:t xml:space="preserve"> </w:t>
      </w:r>
      <w:r>
        <w:t xml:space="preserve">atlas in 126 s, but the gap narrows as the query grows and the reason is ours rather than</w:t>
      </w:r>
      <w:r>
        <w:t xml:space="preserve"> </w:t>
      </w:r>
      <w:r>
        <w:t xml:space="preserve">theirs: actinn-jax gives up 31% of its rate across the range, 18,400 → 12,800 cells/s, while</w:t>
      </w:r>
      <w:r>
        <w:t xml:space="preserve"> </w:t>
      </w:r>
      <w:r>
        <w:t xml:space="preserve">the linear pipeline holds essentially flat at ~4,200, losing 6% (Figure 4B). The advantage is</w:t>
      </w:r>
      <w:r>
        <w:t xml:space="preserve"> </w:t>
      </w:r>
      <w:r>
        <w:t xml:space="preserve">4.2× at 50k cells and 3.1× at the full atlas. It is the cheaper method whose per-cell cost</w:t>
      </w:r>
      <w:r>
        <w:t xml:space="preserve"> </w:t>
      </w:r>
      <w:r>
        <w:t xml:space="preserve">drifts upward here, which is the opposite of what a flat-inference argument predicts, so the</w:t>
      </w:r>
      <w:r>
        <w:t xml:space="preserve"> </w:t>
      </w:r>
      <w:r>
        <w:t xml:space="preserve">claim this axis supports is a three- to fourfold constant factor rather than flatness. The</w:t>
      </w:r>
      <w:r>
        <w:t xml:space="preserve"> </w:t>
      </w:r>
      <w:r>
        <w:t xml:space="preserve">flat-inference result in §3.1 is a</w:t>
      </w:r>
      <w:r>
        <w:t xml:space="preserve"> </w:t>
      </w:r>
      <w:r>
        <w:rPr>
          <w:i/>
          <w:iCs/>
        </w:rPr>
        <w:t xml:space="preserve">reference</w:t>
      </w:r>
      <w:r>
        <w:t xml:space="preserve">-axis result and should not be read onto this</w:t>
      </w:r>
      <w:r>
        <w:t xml:space="preserve"> </w:t>
      </w:r>
      <w:r>
        <w:t xml:space="preserve">one.</w:t>
      </w:r>
    </w:p>
    <w:p>
      <w:pPr>
        <w:pStyle w:val="BodyText"/>
      </w:pPr>
      <w:r>
        <w:rPr>
          <w:b/>
          <w:bCs/>
        </w:rPr>
        <w:t xml:space="preserve">This inverts the Table 3 ordering, and the inversion is the point.</w:t>
      </w:r>
      <w:r>
        <w:t xml:space="preserve"> </w:t>
      </w:r>
      <w:r>
        <w:t xml:space="preserve">At the query sizes in</w:t>
      </w:r>
      <w:r>
        <w:t xml:space="preserve"> </w:t>
      </w:r>
      <w:r>
        <w:t xml:space="preserve">Table 3 — 657 to 13,550 cells — the linear pipeline is the faster of the two (0.33 s against</w:t>
      </w:r>
      <w:r>
        <w:t xml:space="preserve"> </w:t>
      </w:r>
      <w:r>
        <w:t xml:space="preserve">0.54 s), because actinn-jax carries a fixed per-call cost that a few thousand cells never</w:t>
      </w:r>
      <w:r>
        <w:t xml:space="preserve"> </w:t>
      </w:r>
      <w:r>
        <w:t xml:space="preserve">amortize. Across this axis the two trade places: actinn-jax climbs from roughly 2,000–15,000</w:t>
      </w:r>
      <w:r>
        <w:t xml:space="preserve"> </w:t>
      </w:r>
      <w:r>
        <w:t xml:space="preserve">cells/s on those queries to 12,800–18,400 at atlas scale, while the linear pipeline falls from</w:t>
      </w:r>
      <w:r>
        <w:t xml:space="preserve"> </w:t>
      </w:r>
      <w:r>
        <w:t xml:space="preserve">9,300–12,400 to ~4,200. The dense feature block explains it — 20,000 genes over 1,332 cells is</w:t>
      </w:r>
      <w:r>
        <w:t xml:space="preserve"> </w:t>
      </w:r>
      <w:r>
        <w:t xml:space="preserve">107 MB and sits in cache, whereas the same 20,000 genes over a 50,000-cell block is 4 GB and is</w:t>
      </w:r>
      <w:r>
        <w:t xml:space="preserve"> </w:t>
      </w:r>
      <w:r>
        <w:t xml:space="preserve">bounded by memory bandwidth. Neither figure is wrong and neither generalizes: which method is</w:t>
      </w:r>
      <w:r>
        <w:t xml:space="preserve"> </w:t>
      </w:r>
      <w:r>
        <w:t xml:space="preserve">cheaper depends on how many cells are annotated at once, which is precisely what a benchmark</w:t>
      </w:r>
      <w:r>
        <w:t xml:space="preserve"> </w:t>
      </w:r>
      <w:r>
        <w:t xml:space="preserve">reporting a single query size cannot tell you.</w:t>
      </w:r>
    </w:p>
    <w:p>
      <w:pPr>
        <w:pStyle w:val="BodyText"/>
      </w:pPr>
      <w:r>
        <w:rPr>
          <w:b/>
          <w:bCs/>
        </w:rPr>
        <w:t xml:space="preserve">Peak memory does not separate them at all.</w:t>
      </w:r>
      <w:r>
        <w:t xml:space="preserve"> </w:t>
      </w:r>
      <w:r>
        <w:t xml:space="preserve">Both land at 26–28 GB on the full atlas</w:t>
      </w:r>
      <w:r>
        <w:t xml:space="preserve"> </w:t>
      </w:r>
      <w:r>
        <w:t xml:space="preserve">(Figure 4C), because on this axis peak memory measures holding the query rather than running</w:t>
      </w:r>
      <w:r>
        <w:t xml:space="preserve"> </w:t>
      </w:r>
      <w:r>
        <w:t xml:space="preserve">the method: at the largest size, prediction added nothing measurable on top of the resident</w:t>
      </w:r>
      <w:r>
        <w:t xml:space="preserve"> </w:t>
      </w:r>
      <w:r>
        <w:t xml:space="preserve">query for either. A caller streaming from disk would pay less, and would pay it equally. The</w:t>
      </w:r>
      <w:r>
        <w:t xml:space="preserve"> </w:t>
      </w:r>
      <w:r>
        <w:t xml:space="preserve">~2× memory band reported above is likewise a</w:t>
      </w:r>
      <w:r>
        <w:t xml:space="preserve"> </w:t>
      </w:r>
      <w:r>
        <w:rPr>
          <w:i/>
          <w:iCs/>
        </w:rPr>
        <w:t xml:space="preserve">reference</w:t>
      </w:r>
      <w:r>
        <w:t xml:space="preserve">-axis result and does not carry to</w:t>
      </w:r>
      <w:r>
        <w:t xml:space="preserve"> </w:t>
      </w:r>
      <w:r>
        <w:t xml:space="preserve">this one; only the reference axis separates these methods on memory.</w:t>
      </w:r>
    </w:p>
    <w:p>
      <w:pPr>
        <w:pStyle w:val="BodyText"/>
      </w:pPr>
      <w:r>
        <w:t xml:space="preserve">Two caveats on measurement, both of which caught us. Prediction in our linear adapter blocks</w:t>
      </w:r>
      <w:r>
        <w:t xml:space="preserve"> </w:t>
      </w:r>
      <w:r>
        <w:t xml:space="preserve">the query into 50,000-cell chunks; unblocked it densifies 20,000 genes for the whole query at</w:t>
      </w:r>
      <w:r>
        <w:t xml:space="preserve"> </w:t>
      </w:r>
      <w:r>
        <w:t xml:space="preserve">once, which needs roughly 126 GB at the full atlas and does not complete on a 51 GB machine.</w:t>
      </w:r>
      <w:r>
        <w:t xml:space="preserve"> </w:t>
      </w:r>
      <w:r>
        <w:t xml:space="preserve">That is a property of a wrapper rather than of the recipe, and an earlier draft of this figure</w:t>
      </w:r>
      <w:r>
        <w:t xml:space="preserve"> </w:t>
      </w:r>
      <w:r>
        <w:t xml:space="preserve">reported the resulting non-completion as if it characterised the method. Blocking leaves every</w:t>
      </w:r>
      <w:r>
        <w:t xml:space="preserve"> </w:t>
      </w:r>
      <w:r>
        <w:t xml:space="preserve">prediction bit-identical, and is verified to. Second, these are laptop numbers, so each point</w:t>
      </w:r>
      <w:r>
        <w:t xml:space="preserve"> </w:t>
      </w:r>
      <w:r>
        <w:t xml:space="preserve">is the fastest of three runs: a competing process can only add time, and stalls on this</w:t>
      </w:r>
      <w:r>
        <w:t xml:space="preserve"> </w:t>
      </w:r>
      <w:r>
        <w:t xml:space="preserve">machine are large and sporadic rather than small and Gaussian – one repeat turned a 50 s fit</w:t>
      </w:r>
      <w:r>
        <w:t xml:space="preserve"> </w:t>
      </w:r>
      <w:r>
        <w:t xml:space="preserve">into 975 s, and no mean over three runs would survive that. Peak memory takes the largest of</w:t>
      </w:r>
      <w:r>
        <w:t xml:space="preserve"> </w:t>
      </w:r>
      <w:r>
        <w:t xml:space="preserve">three instead, since</w:t>
      </w:r>
      <w:r>
        <w:t xml:space="preserve"> </w:t>
      </w:r>
      <w:r>
        <w:rPr>
          <w:rStyle w:val="VerbatimChar"/>
        </w:rPr>
        <w:t xml:space="preserve">ru_maxrss</w:t>
      </w:r>
      <w:r>
        <w:t xml:space="preserve"> </w:t>
      </w:r>
      <w:r>
        <w:t xml:space="preserve">counts resident pages and therefore reports</w:t>
      </w:r>
      <w:r>
        <w:t xml:space="preserve"> </w:t>
      </w:r>
      <w:r>
        <w:rPr>
          <w:i/>
          <w:iCs/>
        </w:rPr>
        <w:t xml:space="preserve">less</w:t>
      </w:r>
      <w:r>
        <w:t xml:space="preserve"> </w:t>
      </w:r>
      <w:r>
        <w:t xml:space="preserve">than a run</w:t>
      </w:r>
      <w:r>
        <w:t xml:space="preserve"> </w:t>
      </w:r>
      <w:r>
        <w:t xml:space="preserve">needed whenever the OS evicts under pressure. Per-run values are released with the harness so</w:t>
      </w:r>
      <w:r>
        <w:t xml:space="preserve"> </w:t>
      </w:r>
      <w:r>
        <w:t xml:space="preserve">the spread is inspectable rather than summarised away.</w:t>
      </w:r>
    </w:p>
    <w:p>
      <w:pPr>
        <w:pStyle w:val="BodyText"/>
      </w:pPr>
      <w:r>
        <w:drawing>
          <wp:inline>
            <wp:extent cx="5334000" cy="1838894"/>
            <wp:effectExtent b="0" l="0" r="0" t="0"/>
            <wp:docPr descr="annotating an atlas: cost against query size" title="" id="59" name="Picture"/>
            <a:graphic>
              <a:graphicData uri="http://schemas.openxmlformats.org/drawingml/2006/picture">
                <pic:pic>
                  <pic:nvPicPr>
                    <pic:cNvPr descr="/Users/iandriver/Downloads/actinn-jax-benchmark/docs/figures/fig_query_scaling.png" id="60" name="Picture"/>
                    <pic:cNvPicPr>
                      <a:picLocks noChangeArrowheads="1" noChangeAspect="1"/>
                    </pic:cNvPicPr>
                  </pic:nvPicPr>
                  <pic:blipFill>
                    <a:blip r:embed="rId58"/>
                    <a:stretch>
                      <a:fillRect/>
                    </a:stretch>
                  </pic:blipFill>
                  <pic:spPr bwMode="auto">
                    <a:xfrm>
                      <a:off x="0" y="0"/>
                      <a:ext cx="5334000" cy="1838894"/>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Cost against query size with the reference fixed at 17,753 cells.</w:t>
      </w:r>
      <w:r>
        <w:t xml:space="preserve"> </w:t>
      </w:r>
      <w:r>
        <w:rPr>
          <w:i/>
          <w:iCs/>
        </w:rPr>
        <w:t xml:space="preserve">A:</w:t>
      </w:r>
      <w:r>
        <w:t xml:space="preserve"> </w:t>
      </w:r>
      <w:r>
        <w:t xml:space="preserve">wall-clock</w:t>
      </w:r>
      <w:r>
        <w:t xml:space="preserve"> </w:t>
      </w:r>
      <w:r>
        <w:t xml:space="preserve">to annotate the query.</w:t>
      </w:r>
      <w:r>
        <w:t xml:space="preserve"> </w:t>
      </w:r>
      <w:r>
        <w:rPr>
          <w:i/>
          <w:iCs/>
        </w:rPr>
        <w:t xml:space="preserve">B:</w:t>
      </w:r>
      <w:r>
        <w:t xml:space="preserve"> </w:t>
      </w:r>
      <w:r>
        <w:t xml:space="preserve">throughput, which declines 31% for actinn-jax and holds flat for</w:t>
      </w:r>
      <w:r>
        <w:t xml:space="preserve"> </w:t>
      </w:r>
      <w:r>
        <w:t xml:space="preserve">the linear pipeline, narrowing the advantage from 4.2× to 3.1×.</w:t>
      </w:r>
      <w:r>
        <w:t xml:space="preserve"> </w:t>
      </w:r>
      <w:r>
        <w:rPr>
          <w:i/>
          <w:iCs/>
        </w:rPr>
        <w:t xml:space="preserve">C:</w:t>
      </w:r>
      <w:r>
        <w:t xml:space="preserve"> </w:t>
      </w:r>
      <w:r>
        <w:t xml:space="preserve">peak memory, which does</w:t>
      </w:r>
      <w:r>
        <w:t xml:space="preserve"> </w:t>
      </w:r>
      <w:r>
        <w:t xml:space="preserve">not distinguish them – on this axis it measures holding the query, not running the method. Three</w:t>
      </w:r>
      <w:r>
        <w:t xml:space="preserve"> </w:t>
      </w:r>
      <w:r>
        <w:t xml:space="preserve">runs per point on a shared laptop:</w:t>
      </w:r>
      <w:r>
        <w:t xml:space="preserve"> </w:t>
      </w:r>
      <w:r>
        <w:rPr>
          <w:i/>
          <w:iCs/>
        </w:rPr>
        <w:t xml:space="preserve">A</w:t>
      </w:r>
      <w:r>
        <w:t xml:space="preserve"> </w:t>
      </w:r>
      <w:r>
        <w:t xml:space="preserve">and</w:t>
      </w:r>
      <w:r>
        <w:t xml:space="preserve"> </w:t>
      </w:r>
      <w:r>
        <w:rPr>
          <w:i/>
          <w:iCs/>
        </w:rPr>
        <w:t xml:space="preserve">B</w:t>
      </w:r>
      <w:r>
        <w:t xml:space="preserve"> </w:t>
      </w:r>
      <w:r>
        <w:t xml:space="preserve">report the fastest run, since contention can</w:t>
      </w:r>
      <w:r>
        <w:t xml:space="preserve"> </w:t>
      </w:r>
      <w:r>
        <w:t xml:space="preserve">only add time, and</w:t>
      </w:r>
      <w:r>
        <w:t xml:space="preserve"> </w:t>
      </w:r>
      <w:r>
        <w:rPr>
          <w:i/>
          <w:iCs/>
        </w:rPr>
        <w:t xml:space="preserve">C</w:t>
      </w:r>
      <w:r>
        <w:t xml:space="preserve"> </w:t>
      </w:r>
      <w:r>
        <w:t xml:space="preserve">the largest peak, since resident-set size understates a run that the OS</w:t>
      </w:r>
      <w:r>
        <w:t xml:space="preserve"> </w:t>
      </w:r>
      <w:r>
        <w:t xml:space="preserve">has partly evicted. Per-run values are in</w:t>
      </w:r>
      <w:r>
        <w:t xml:space="preserve"> </w:t>
      </w:r>
      <w:r>
        <w:rPr>
          <w:rStyle w:val="VerbatimChar"/>
        </w:rPr>
        <w:t xml:space="preserve">results_query_scaling.csv</w:t>
      </w:r>
      <w:r>
        <w:t xml:space="preserve">.</w:t>
      </w:r>
    </w:p>
    <w:bookmarkEnd w:id="61"/>
    <w:bookmarkStart w:id="6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3" name="Picture"/>
            <a:graphic>
              <a:graphicData uri="http://schemas.openxmlformats.org/drawingml/2006/picture">
                <pic:pic>
                  <pic:nvPicPr>
                    <pic:cNvPr descr="/Users/iandriver/Downloads/actinn-jax-benchmark/docs/figures/fig_workflow_umap_ondata.png" id="64" name="Picture"/>
                    <pic:cNvPicPr>
                      <a:picLocks noChangeArrowheads="1" noChangeAspect="1"/>
                    </pic:cNvPicPr>
                  </pic:nvPicPr>
                  <pic:blipFill>
                    <a:blip r:embed="rId62"/>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144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 orientation</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rPr>
                <w:b/>
                <w:bCs/>
              </w:rPr>
              <w:t xml:space="preserve">0.408</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 All three are scored on identical cells through one script (below). An earlier</w:t>
      </w:r>
      <w:r>
        <w:t xml:space="preserve"> </w:t>
      </w:r>
      <w:r>
        <w:t xml:space="preserve">version of this table put the teacher at 0.380, which was an artefact of our own cache: the</w:t>
      </w:r>
      <w:r>
        <w:t xml:space="preserve"> </w:t>
      </w:r>
      <w:r>
        <w:t xml:space="preserve">dump it was scored from carried a Cell Ontology id for only 90.5% of its calls, and an</w:t>
      </w:r>
      <w:r>
        <w:t xml:space="preserve"> </w:t>
      </w:r>
      <w:r>
        <w:t xml:space="preserve">unmapped call scores as wrong. Run through the adapter directly it maps 99.9% and scores</w:t>
      </w:r>
      <w:r>
        <w:t xml:space="preserve"> </w:t>
      </w:r>
      <w:r>
        <w:t xml:space="preserve">0.408, level with the student.</w:t>
      </w:r>
    </w:p>
    <w:p>
      <w:pPr>
        <w:pStyle w:val="BodyText"/>
      </w:pPr>
      <w:r>
        <w:t xml:space="preserve">This makes the entry point as accurate as its teacher and ~6–9× faster, and more accurate</w:t>
      </w:r>
      <w:r>
        <w:t xml:space="preserve"> </w:t>
      </w:r>
      <w:r>
        <w:t xml:space="preserve">than building it from the 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Student and teacher are level on this query (0.406 against 0.408), and both</w:t>
      </w:r>
      <w:r>
        <w:t xml:space="preserve"> </w:t>
      </w:r>
      <w:r>
        <w:t xml:space="preserve">actinn-jax models draw on a census sample that may include these studies while Pan-human</w:t>
      </w:r>
      <w:r>
        <w:t xml:space="preserve"> </w:t>
      </w:r>
      <w:r>
        <w:t xml:space="preserve">Azimuth does not, so read the distilled model as</w:t>
      </w:r>
      <w:r>
        <w:t xml:space="preserve"> </w:t>
      </w:r>
      <w:r>
        <w:rPr>
          <w:i/>
          <w:iCs/>
        </w:rPr>
        <w:t xml:space="preserve">comparable to</w:t>
      </w:r>
      <w:r>
        <w:t xml:space="preserve"> </w:t>
      </w:r>
      <w:r>
        <w:t xml:space="preserve">the one it distills rather</w:t>
      </w:r>
      <w:r>
        <w:t xml:space="preserve"> </w:t>
      </w:r>
      <w:r>
        <w:t xml:space="preserve">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0.408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6A).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459955"/>
            <wp:effectExtent b="0" l="0" r="0" t="0"/>
            <wp:docPr descr="building a coarse hierarchy without a GPU" title="" id="66" name="Picture"/>
            <a:graphic>
              <a:graphicData uri="http://schemas.openxmlformats.org/drawingml/2006/picture">
                <pic:pic>
                  <pic:nvPicPr>
                    <pic:cNvPr descr="/Users/iandriver/Downloads/actinn-jax-benchmark/docs/figures/fig_ontology_hierarchy.png" id="67" name="Picture"/>
                    <pic:cNvPicPr>
                      <a:picLocks noChangeArrowheads="1" noChangeAspect="1"/>
                    </pic:cNvPicPr>
                  </pic:nvPicPr>
                  <pic:blipFill>
                    <a:blip r:embed="rId65"/>
                    <a:stretch>
                      <a:fillRect/>
                    </a:stretch>
                  </pic:blipFill>
                  <pic:spPr bwMode="auto">
                    <a:xfrm>
                      <a:off x="0" y="0"/>
                      <a:ext cx="5334000" cy="3459955"/>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 and</w:t>
      </w:r>
      <w:r>
        <w:t xml:space="preserve"> </w:t>
      </w:r>
      <w:r>
        <w:t xml:space="preserve">against a random grouping with the same group sizes, scored by ontology concordance on the</w:t>
      </w:r>
      <w:r>
        <w:t xml:space="preserve"> </w:t>
      </w:r>
      <w:r>
        <w:t xml:space="preserve">held-out human lung atlas. Bars start at zero and error bars are 95% binomial intervals on the</w:t>
      </w:r>
      <w:r>
        <w:t xml:space="preserve"> </w:t>
      </w:r>
      <w:r>
        <w:t xml:space="preserve">2,161 scored cells; the gain over no hierarchy clears that interval and the gap between the two</w:t>
      </w:r>
      <w:r>
        <w:t xml:space="preserve"> </w:t>
      </w:r>
      <w:r>
        <w:t xml:space="preserve">controls does not.</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6B).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the ontology grouping reaches</w:t>
      </w:r>
      <w:r>
        <w:t xml:space="preserve"> </w:t>
      </w:r>
      <w:r>
        <w:rPr>
          <w:b/>
          <w:bCs/>
        </w:rPr>
        <w:t xml:space="preserve">0.616</w:t>
      </w:r>
      <w:r>
        <w:t xml:space="preserve"> </w:t>
      </w:r>
      <w:r>
        <w:t xml:space="preserve">against</w:t>
      </w:r>
      <w:r>
        <w:t xml:space="preserve"> </w:t>
      </w:r>
      <w:r>
        <w:rPr>
          <w:b/>
          <w:bCs/>
        </w:rPr>
        <w:t xml:space="preserve">0.547</w:t>
      </w:r>
      <w:r>
        <w:t xml:space="preserve"> </w:t>
      </w:r>
      <w:r>
        <w:t xml:space="preserve">for no hierarchy at all — a gain of</w:t>
      </w:r>
      <w:r>
        <w:t xml:space="preserve"> </w:t>
      </w:r>
      <w:r>
        <w:rPr>
          <w:b/>
          <w:bCs/>
        </w:rPr>
        <w:t xml:space="preserve">0.069</w:t>
      </w:r>
      <w:r>
        <w:t xml:space="preserve">, or 13% relative,</w:t>
      </w:r>
      <w:r>
        <w:t xml:space="preserve"> </w:t>
      </w:r>
      <w:r>
        <w:t xml:space="preserve">which on 2,161 scored cells sits outside the 95% interval of ±0.029. A random grouping with the</w:t>
      </w:r>
      <w:r>
        <w:t xml:space="preserve"> </w:t>
      </w:r>
      <w:r>
        <w:t xml:space="preserve">same group sizes scores</w:t>
      </w:r>
      <w:r>
        <w:t xml:space="preserve"> </w:t>
      </w:r>
      <w:r>
        <w:rPr>
          <w:b/>
          <w:bCs/>
        </w:rPr>
        <w:t xml:space="preserve">0.539</w:t>
      </w:r>
      <w:r>
        <w:t xml:space="preserve">, which is 0.008 from the no-hierarchy control and inside that</w:t>
      </w:r>
      <w:r>
        <w:t xml:space="preserve"> </w:t>
      </w:r>
      <w:r>
        <w:t xml:space="preserve">interval (Figure 6C).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p>
      <w:pPr>
        <w:pStyle w:val="BodyText"/>
      </w:pPr>
      <w:r>
        <w:rPr>
          <w:b/>
          <w:bCs/>
        </w:rPr>
        <w:t xml:space="preserve">Running all three: where independent references agree.</w:t>
      </w:r>
      <w:r>
        <w:t xml:space="preserve"> </w:t>
      </w:r>
      <w:r>
        <w:t xml:space="preserve">Three interchangeable entry points</w:t>
      </w:r>
      <w:r>
        <w:t xml:space="preserve"> </w:t>
      </w:r>
      <w:r>
        <w:t xml:space="preserve">make a question affordable that would not be worth asking if a broad call cost minutes — what</w:t>
      </w:r>
      <w:r>
        <w:t xml:space="preserve"> </w:t>
      </w:r>
      <w:r>
        <w:t xml:space="preserve">happens if a user simply runs all of them? They answer in three different vocabularies (798,</w:t>
      </w:r>
      <w:r>
        <w:t xml:space="preserve"> </w:t>
      </w:r>
      <w:r>
        <w:t xml:space="preserve">382 and 324 classes), so agreement is defined in the Cell Ontology where all three map: two</w:t>
      </w:r>
      <w:r>
        <w:t xml:space="preserve"> </w:t>
      </w:r>
      <w:r>
        <w:t xml:space="preserve">calls agree when they are the same term or one is an ancestor of the other, the relation the</w:t>
      </w:r>
      <w:r>
        <w:t xml:space="preserve"> </w:t>
      </w:r>
      <w:r>
        <w:t xml:space="preserve">concordance metric already uses. Partitioning by how many of the three mutually agree, on the</w:t>
      </w:r>
      <w:r>
        <w:t xml:space="preserve"> </w:t>
      </w:r>
      <w:r>
        <w:t xml:space="preserve">withheld cross-study liver query and on the 65,662-cell Krasnow lung atlas: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tissue</w:t>
            </w:r>
          </w:p>
        </w:tc>
        <w:tc>
          <w:tcPr/>
          <w:p>
            <w:pPr>
              <w:pStyle w:val="Compact"/>
            </w:pPr>
            <w:r>
              <w:t xml:space="preserve">tier</w:t>
            </w:r>
          </w:p>
        </w:tc>
        <w:tc>
          <w:tcPr/>
          <w:p>
            <w:pPr>
              <w:pStyle w:val="Compact"/>
              <w:jc w:val="right"/>
            </w:pPr>
            <w:r>
              <w:t xml:space="preserve">coverage</w:t>
            </w:r>
          </w:p>
        </w:tc>
        <w:tc>
          <w:tcPr/>
          <w:p>
            <w:pPr>
              <w:pStyle w:val="Compact"/>
              <w:jc w:val="right"/>
            </w:pPr>
            <w:r>
              <w:t xml:space="preserve">census</w:t>
            </w:r>
          </w:p>
        </w:tc>
        <w:tc>
          <w:tcPr/>
          <w:p>
            <w:pPr>
              <w:pStyle w:val="Compact"/>
              <w:jc w:val="right"/>
            </w:pPr>
            <w:r>
              <w:t xml:space="preserve">distilled</w:t>
            </w:r>
          </w:p>
        </w:tc>
        <w:tc>
          <w:tcPr/>
          <w:p>
            <w:pPr>
              <w:pStyle w:val="Compact"/>
              <w:jc w:val="right"/>
            </w:pPr>
            <w:r>
              <w:t xml:space="preserve">Azimuth</w:t>
            </w:r>
          </w:p>
        </w:tc>
      </w:tr>
      <w:tr>
        <w:tc>
          <w:tcPr/>
          <w:p>
            <w:pPr>
              <w:pStyle w:val="Compact"/>
            </w:pPr>
            <w:r>
              <w:t xml:space="preserve">liver</w:t>
            </w:r>
          </w:p>
        </w:tc>
        <w:tc>
          <w:tcPr/>
          <w:p>
            <w:pPr>
              <w:pStyle w:val="Compact"/>
            </w:pPr>
            <w:r>
              <w:t xml:space="preserve">all three agree</w:t>
            </w:r>
          </w:p>
        </w:tc>
        <w:tc>
          <w:tcPr/>
          <w:p>
            <w:pPr>
              <w:pStyle w:val="Compact"/>
              <w:jc w:val="right"/>
            </w:pPr>
            <w:r>
              <w:t xml:space="preserve">23%</w:t>
            </w:r>
          </w:p>
        </w:tc>
        <w:tc>
          <w:tcPr/>
          <w:p>
            <w:pPr>
              <w:pStyle w:val="Compact"/>
              <w:jc w:val="right"/>
            </w:pPr>
            <w:r>
              <w:t xml:space="preserve">0.690</w:t>
            </w:r>
          </w:p>
        </w:tc>
        <w:tc>
          <w:tcPr/>
          <w:p>
            <w:pPr>
              <w:pStyle w:val="Compact"/>
              <w:jc w:val="right"/>
            </w:pPr>
            <w:r>
              <w:t xml:space="preserve">0.778</w:t>
            </w:r>
          </w:p>
        </w:tc>
        <w:tc>
          <w:tcPr/>
          <w:p>
            <w:pPr>
              <w:pStyle w:val="Compact"/>
              <w:jc w:val="right"/>
            </w:pPr>
            <w:r>
              <w:t xml:space="preserve">0.785</w:t>
            </w:r>
          </w:p>
        </w:tc>
      </w:tr>
      <w:tr>
        <w:tc>
          <w:tcPr/>
          <w:p>
            <w:pPr>
              <w:pStyle w:val="Compact"/>
            </w:pPr>
            <w:r>
              <w:t xml:space="preserve">liver</w:t>
            </w:r>
          </w:p>
        </w:tc>
        <w:tc>
          <w:tcPr/>
          <w:p>
            <w:pPr>
              <w:pStyle w:val="Compact"/>
            </w:pPr>
            <w:r>
              <w:t xml:space="preserve">two agree</w:t>
            </w:r>
          </w:p>
        </w:tc>
        <w:tc>
          <w:tcPr/>
          <w:p>
            <w:pPr>
              <w:pStyle w:val="Compact"/>
              <w:jc w:val="right"/>
            </w:pPr>
            <w:r>
              <w:t xml:space="preserve">55%</w:t>
            </w:r>
          </w:p>
        </w:tc>
        <w:tc>
          <w:tcPr/>
          <w:p>
            <w:pPr>
              <w:pStyle w:val="Compact"/>
              <w:jc w:val="right"/>
            </w:pPr>
            <w:r>
              <w:t xml:space="preserve">0.241</w:t>
            </w:r>
          </w:p>
        </w:tc>
        <w:tc>
          <w:tcPr/>
          <w:p>
            <w:pPr>
              <w:pStyle w:val="Compact"/>
              <w:jc w:val="right"/>
            </w:pPr>
            <w:r>
              <w:t xml:space="preserve">0.303</w:t>
            </w:r>
          </w:p>
        </w:tc>
        <w:tc>
          <w:tcPr/>
          <w:p>
            <w:pPr>
              <w:pStyle w:val="Compact"/>
              <w:jc w:val="right"/>
            </w:pPr>
            <w:r>
              <w:t xml:space="preserve">0.311</w:t>
            </w:r>
          </w:p>
        </w:tc>
      </w:tr>
      <w:tr>
        <w:tc>
          <w:tcPr/>
          <w:p>
            <w:pPr>
              <w:pStyle w:val="Compact"/>
            </w:pPr>
            <w:r>
              <w:t xml:space="preserve">liver</w:t>
            </w:r>
          </w:p>
        </w:tc>
        <w:tc>
          <w:tcPr/>
          <w:p>
            <w:pPr>
              <w:pStyle w:val="Compact"/>
            </w:pPr>
            <w:r>
              <w:t xml:space="preserve">none agree</w:t>
            </w:r>
          </w:p>
        </w:tc>
        <w:tc>
          <w:tcPr/>
          <w:p>
            <w:pPr>
              <w:pStyle w:val="Compact"/>
              <w:jc w:val="right"/>
            </w:pPr>
            <w:r>
              <w:t xml:space="preserve">22%</w:t>
            </w:r>
          </w:p>
        </w:tc>
        <w:tc>
          <w:tcPr/>
          <w:p>
            <w:pPr>
              <w:pStyle w:val="Compact"/>
              <w:jc w:val="right"/>
            </w:pPr>
            <w:r>
              <w:t xml:space="preserve">0.212</w:t>
            </w:r>
          </w:p>
        </w:tc>
        <w:tc>
          <w:tcPr/>
          <w:p>
            <w:pPr>
              <w:pStyle w:val="Compact"/>
              <w:jc w:val="right"/>
            </w:pPr>
            <w:r>
              <w:t xml:space="preserve">0.276</w:t>
            </w:r>
          </w:p>
        </w:tc>
        <w:tc>
          <w:tcPr/>
          <w:p>
            <w:pPr>
              <w:pStyle w:val="Compact"/>
              <w:jc w:val="right"/>
            </w:pPr>
            <w:r>
              <w:t xml:space="preserve">0.257</w:t>
            </w:r>
          </w:p>
        </w:tc>
      </w:tr>
      <w:tr>
        <w:tc>
          <w:tcPr/>
          <w:p>
            <w:pPr>
              <w:pStyle w:val="Compact"/>
            </w:pPr>
            <w:r>
              <w:t xml:space="preserve">liver</w:t>
            </w:r>
          </w:p>
        </w:tc>
        <w:tc>
          <w:tcPr/>
          <w:p>
            <w:pPr>
              <w:pStyle w:val="Compact"/>
            </w:pPr>
            <w:r>
              <w:rPr>
                <w:i/>
                <w:iCs/>
              </w:rPr>
              <w:t xml:space="preserve">whole query</w:t>
            </w:r>
          </w:p>
        </w:tc>
        <w:tc>
          <w:tcPr/>
          <w:p>
            <w:pPr>
              <w:pStyle w:val="Compact"/>
              <w:jc w:val="right"/>
            </w:pPr>
            <w:r>
              <w:t xml:space="preserve">100%</w:t>
            </w:r>
          </w:p>
        </w:tc>
        <w:tc>
          <w:tcPr/>
          <w:p>
            <w:pPr>
              <w:pStyle w:val="Compact"/>
              <w:jc w:val="right"/>
            </w:pPr>
            <w:r>
              <w:rPr>
                <w:i/>
                <w:iCs/>
              </w:rPr>
              <w:t xml:space="preserve">0.338</w:t>
            </w:r>
          </w:p>
        </w:tc>
        <w:tc>
          <w:tcPr/>
          <w:p>
            <w:pPr>
              <w:pStyle w:val="Compact"/>
              <w:jc w:val="right"/>
            </w:pPr>
            <w:r>
              <w:rPr>
                <w:i/>
                <w:iCs/>
              </w:rPr>
              <w:t xml:space="preserve">0.406</w:t>
            </w:r>
          </w:p>
        </w:tc>
        <w:tc>
          <w:tcPr/>
          <w:p>
            <w:pPr>
              <w:pStyle w:val="Compact"/>
              <w:jc w:val="right"/>
            </w:pPr>
            <w:r>
              <w:rPr>
                <w:i/>
                <w:iCs/>
              </w:rPr>
              <w:t xml:space="preserve">0.408</w:t>
            </w:r>
          </w:p>
        </w:tc>
      </w:tr>
      <w:tr>
        <w:tc>
          <w:tcPr/>
          <w:p>
            <w:pPr>
              <w:pStyle w:val="Compact"/>
            </w:pPr>
            <w:r>
              <w:t xml:space="preserve">lung</w:t>
            </w:r>
          </w:p>
        </w:tc>
        <w:tc>
          <w:tcPr/>
          <w:p>
            <w:pPr>
              <w:pStyle w:val="Compact"/>
            </w:pPr>
            <w:r>
              <w:t xml:space="preserve">all three agree</w:t>
            </w:r>
          </w:p>
        </w:tc>
        <w:tc>
          <w:tcPr/>
          <w:p>
            <w:pPr>
              <w:pStyle w:val="Compact"/>
              <w:jc w:val="right"/>
            </w:pPr>
            <w:r>
              <w:t xml:space="preserve">48%</w:t>
            </w:r>
          </w:p>
        </w:tc>
        <w:tc>
          <w:tcPr/>
          <w:p>
            <w:pPr>
              <w:pStyle w:val="Compact"/>
              <w:jc w:val="right"/>
            </w:pPr>
            <w:r>
              <w:t xml:space="preserve">0.934</w:t>
            </w:r>
          </w:p>
        </w:tc>
        <w:tc>
          <w:tcPr/>
          <w:p>
            <w:pPr>
              <w:pStyle w:val="Compact"/>
              <w:jc w:val="right"/>
            </w:pPr>
            <w:r>
              <w:t xml:space="preserve">0.917</w:t>
            </w:r>
          </w:p>
        </w:tc>
        <w:tc>
          <w:tcPr/>
          <w:p>
            <w:pPr>
              <w:pStyle w:val="Compact"/>
              <w:jc w:val="right"/>
            </w:pPr>
            <w:r>
              <w:t xml:space="preserve">0.917</w:t>
            </w:r>
          </w:p>
        </w:tc>
      </w:tr>
      <w:tr>
        <w:tc>
          <w:tcPr/>
          <w:p>
            <w:pPr>
              <w:pStyle w:val="Compact"/>
            </w:pPr>
            <w:r>
              <w:t xml:space="preserve">lung</w:t>
            </w:r>
          </w:p>
        </w:tc>
        <w:tc>
          <w:tcPr/>
          <w:p>
            <w:pPr>
              <w:pStyle w:val="Compact"/>
            </w:pPr>
            <w:r>
              <w:t xml:space="preserve">two agree</w:t>
            </w:r>
          </w:p>
        </w:tc>
        <w:tc>
          <w:tcPr/>
          <w:p>
            <w:pPr>
              <w:pStyle w:val="Compact"/>
              <w:jc w:val="right"/>
            </w:pPr>
            <w:r>
              <w:t xml:space="preserve">50%</w:t>
            </w:r>
          </w:p>
        </w:tc>
        <w:tc>
          <w:tcPr/>
          <w:p>
            <w:pPr>
              <w:pStyle w:val="Compact"/>
              <w:jc w:val="right"/>
            </w:pPr>
            <w:r>
              <w:t xml:space="preserve">0.156</w:t>
            </w:r>
          </w:p>
        </w:tc>
        <w:tc>
          <w:tcPr/>
          <w:p>
            <w:pPr>
              <w:pStyle w:val="Compact"/>
              <w:jc w:val="right"/>
            </w:pPr>
            <w:r>
              <w:t xml:space="preserve">0.768</w:t>
            </w:r>
          </w:p>
        </w:tc>
        <w:tc>
          <w:tcPr/>
          <w:p>
            <w:pPr>
              <w:pStyle w:val="Compact"/>
              <w:jc w:val="right"/>
            </w:pPr>
            <w:r>
              <w:t xml:space="preserve">0.770</w:t>
            </w:r>
          </w:p>
        </w:tc>
      </w:tr>
      <w:tr>
        <w:tc>
          <w:tcPr/>
          <w:p>
            <w:pPr>
              <w:pStyle w:val="Compact"/>
            </w:pPr>
            <w:r>
              <w:t xml:space="preserve">lung</w:t>
            </w:r>
          </w:p>
        </w:tc>
        <w:tc>
          <w:tcPr/>
          <w:p>
            <w:pPr>
              <w:pStyle w:val="Compact"/>
            </w:pPr>
            <w:r>
              <w:t xml:space="preserve">none agree</w:t>
            </w:r>
          </w:p>
        </w:tc>
        <w:tc>
          <w:tcPr/>
          <w:p>
            <w:pPr>
              <w:pStyle w:val="Compact"/>
              <w:jc w:val="right"/>
            </w:pPr>
            <w:r>
              <w:t xml:space="preserve">3%</w:t>
            </w:r>
          </w:p>
        </w:tc>
        <w:tc>
          <w:tcPr/>
          <w:p>
            <w:pPr>
              <w:pStyle w:val="Compact"/>
              <w:jc w:val="right"/>
            </w:pPr>
            <w:r>
              <w:t xml:space="preserve">0.059</w:t>
            </w:r>
          </w:p>
        </w:tc>
        <w:tc>
          <w:tcPr/>
          <w:p>
            <w:pPr>
              <w:pStyle w:val="Compact"/>
              <w:jc w:val="right"/>
            </w:pPr>
            <w:r>
              <w:t xml:space="preserve">0.436</w:t>
            </w:r>
          </w:p>
        </w:tc>
        <w:tc>
          <w:tcPr/>
          <w:p>
            <w:pPr>
              <w:pStyle w:val="Compact"/>
              <w:jc w:val="right"/>
            </w:pPr>
            <w:r>
              <w:t xml:space="preserve">0.425</w:t>
            </w:r>
          </w:p>
        </w:tc>
      </w:tr>
      <w:tr>
        <w:tc>
          <w:tcPr/>
          <w:p>
            <w:pPr>
              <w:pStyle w:val="Compact"/>
            </w:pPr>
            <w:r>
              <w:t xml:space="preserve">lung</w:t>
            </w:r>
          </w:p>
        </w:tc>
        <w:tc>
          <w:tcPr/>
          <w:p>
            <w:pPr>
              <w:pStyle w:val="Compact"/>
            </w:pPr>
            <w:r>
              <w:rPr>
                <w:i/>
                <w:iCs/>
              </w:rPr>
              <w:t xml:space="preserve">whole query</w:t>
            </w:r>
          </w:p>
        </w:tc>
        <w:tc>
          <w:tcPr/>
          <w:p>
            <w:pPr>
              <w:pStyle w:val="Compact"/>
              <w:jc w:val="right"/>
            </w:pPr>
            <w:r>
              <w:t xml:space="preserve">100%</w:t>
            </w:r>
          </w:p>
        </w:tc>
        <w:tc>
          <w:tcPr/>
          <w:p>
            <w:pPr>
              <w:pStyle w:val="Compact"/>
              <w:jc w:val="right"/>
            </w:pPr>
            <w:r>
              <w:rPr>
                <w:i/>
                <w:iCs/>
              </w:rPr>
              <w:t xml:space="preserve">0.524</w:t>
            </w:r>
          </w:p>
        </w:tc>
        <w:tc>
          <w:tcPr/>
          <w:p>
            <w:pPr>
              <w:pStyle w:val="Compact"/>
              <w:jc w:val="right"/>
            </w:pPr>
            <w:r>
              <w:rPr>
                <w:i/>
                <w:iCs/>
              </w:rPr>
              <w:t xml:space="preserve">0.830</w:t>
            </w:r>
          </w:p>
        </w:tc>
        <w:tc>
          <w:tcPr/>
          <w:p>
            <w:pPr>
              <w:pStyle w:val="Compact"/>
              <w:jc w:val="right"/>
            </w:pPr>
            <w:r>
              <w:rPr>
                <w:i/>
                <w:iCs/>
              </w:rPr>
              <w:t xml:space="preserve">0.831</w:t>
            </w:r>
          </w:p>
        </w:tc>
      </w:tr>
      <w:tr>
        <w:tc>
          <w:tcPr/>
          <w:p>
            <w:pPr>
              <w:pStyle w:val="Compact"/>
            </w:pPr>
            <w:r>
              <w:t xml:space="preserve">brain</w:t>
            </w:r>
          </w:p>
        </w:tc>
        <w:tc>
          <w:tcPr/>
          <w:p>
            <w:pPr>
              <w:pStyle w:val="Compact"/>
            </w:pPr>
            <w:r>
              <w:t xml:space="preserve">all three agree</w:t>
            </w:r>
          </w:p>
        </w:tc>
        <w:tc>
          <w:tcPr/>
          <w:p>
            <w:pPr>
              <w:pStyle w:val="Compact"/>
              <w:jc w:val="right"/>
            </w:pPr>
            <w:r>
              <w:t xml:space="preserve">94%</w:t>
            </w:r>
          </w:p>
        </w:tc>
        <w:tc>
          <w:tcPr/>
          <w:p>
            <w:pPr>
              <w:pStyle w:val="Compact"/>
              <w:jc w:val="right"/>
            </w:pPr>
            <w:r>
              <w:t xml:space="preserve">0.839</w:t>
            </w:r>
          </w:p>
        </w:tc>
        <w:tc>
          <w:tcPr/>
          <w:p>
            <w:pPr>
              <w:pStyle w:val="Compact"/>
              <w:jc w:val="right"/>
            </w:pPr>
            <w:r>
              <w:t xml:space="preserve">0.997</w:t>
            </w:r>
          </w:p>
        </w:tc>
        <w:tc>
          <w:tcPr/>
          <w:p>
            <w:pPr>
              <w:pStyle w:val="Compact"/>
              <w:jc w:val="right"/>
            </w:pPr>
            <w:r>
              <w:t xml:space="preserve">0.997</w:t>
            </w:r>
          </w:p>
        </w:tc>
      </w:tr>
      <w:tr>
        <w:tc>
          <w:tcPr/>
          <w:p>
            <w:pPr>
              <w:pStyle w:val="Compact"/>
            </w:pPr>
            <w:r>
              <w:t xml:space="preserve">brain</w:t>
            </w:r>
          </w:p>
        </w:tc>
        <w:tc>
          <w:tcPr/>
          <w:p>
            <w:pPr>
              <w:pStyle w:val="Compact"/>
            </w:pPr>
            <w:r>
              <w:t xml:space="preserve">two agree</w:t>
            </w:r>
          </w:p>
        </w:tc>
        <w:tc>
          <w:tcPr/>
          <w:p>
            <w:pPr>
              <w:pStyle w:val="Compact"/>
              <w:jc w:val="right"/>
            </w:pPr>
            <w:r>
              <w:t xml:space="preserve">6%</w:t>
            </w:r>
          </w:p>
        </w:tc>
        <w:tc>
          <w:tcPr/>
          <w:p>
            <w:pPr>
              <w:pStyle w:val="Compact"/>
              <w:jc w:val="right"/>
            </w:pPr>
            <w:r>
              <w:t xml:space="preserve">0.107</w:t>
            </w:r>
          </w:p>
        </w:tc>
        <w:tc>
          <w:tcPr/>
          <w:p>
            <w:pPr>
              <w:pStyle w:val="Compact"/>
              <w:jc w:val="right"/>
            </w:pPr>
            <w:r>
              <w:t xml:space="preserve">0.829</w:t>
            </w:r>
          </w:p>
        </w:tc>
        <w:tc>
          <w:tcPr/>
          <w:p>
            <w:pPr>
              <w:pStyle w:val="Compact"/>
              <w:jc w:val="right"/>
            </w:pPr>
            <w:r>
              <w:t xml:space="preserve">0.869</w:t>
            </w:r>
          </w:p>
        </w:tc>
      </w:tr>
      <w:tr>
        <w:tc>
          <w:tcPr/>
          <w:p>
            <w:pPr>
              <w:pStyle w:val="Compact"/>
            </w:pPr>
            <w:r>
              <w:t xml:space="preserve">brain</w:t>
            </w:r>
          </w:p>
        </w:tc>
        <w:tc>
          <w:tcPr/>
          <w:p>
            <w:pPr>
              <w:pStyle w:val="Compact"/>
            </w:pPr>
            <w:r>
              <w:t xml:space="preserve">none agree</w:t>
            </w:r>
          </w:p>
        </w:tc>
        <w:tc>
          <w:tcPr/>
          <w:p>
            <w:pPr>
              <w:pStyle w:val="Compact"/>
              <w:jc w:val="right"/>
            </w:pPr>
            <w:r>
              <w:t xml:space="preserve">1%</w:t>
            </w:r>
          </w:p>
        </w:tc>
        <w:tc>
          <w:tcPr/>
          <w:p>
            <w:pPr>
              <w:pStyle w:val="Compact"/>
              <w:jc w:val="right"/>
            </w:pPr>
            <w:r>
              <w:t xml:space="preserve">0.117</w:t>
            </w:r>
          </w:p>
        </w:tc>
        <w:tc>
          <w:tcPr/>
          <w:p>
            <w:pPr>
              <w:pStyle w:val="Compact"/>
              <w:jc w:val="right"/>
            </w:pPr>
            <w:r>
              <w:t xml:space="preserve">0.106</w:t>
            </w:r>
          </w:p>
        </w:tc>
        <w:tc>
          <w:tcPr/>
          <w:p>
            <w:pPr>
              <w:pStyle w:val="Compact"/>
              <w:jc w:val="right"/>
            </w:pPr>
            <w:r>
              <w:t xml:space="preserve">0.568</w:t>
            </w:r>
          </w:p>
        </w:tc>
      </w:tr>
      <w:tr>
        <w:tc>
          <w:tcPr/>
          <w:p>
            <w:pPr>
              <w:pStyle w:val="Compact"/>
            </w:pPr>
            <w:r>
              <w:t xml:space="preserve">brain</w:t>
            </w:r>
          </w:p>
        </w:tc>
        <w:tc>
          <w:tcPr/>
          <w:p>
            <w:pPr>
              <w:pStyle w:val="Compact"/>
            </w:pPr>
            <w:r>
              <w:rPr>
                <w:i/>
                <w:iCs/>
              </w:rPr>
              <w:t xml:space="preserve">whole query</w:t>
            </w:r>
          </w:p>
        </w:tc>
        <w:tc>
          <w:tcPr/>
          <w:p>
            <w:pPr>
              <w:pStyle w:val="Compact"/>
              <w:jc w:val="right"/>
            </w:pPr>
            <w:r>
              <w:t xml:space="preserve">100%</w:t>
            </w:r>
          </w:p>
        </w:tc>
        <w:tc>
          <w:tcPr/>
          <w:p>
            <w:pPr>
              <w:pStyle w:val="Compact"/>
              <w:jc w:val="right"/>
            </w:pPr>
            <w:r>
              <w:rPr>
                <w:i/>
                <w:iCs/>
              </w:rPr>
              <w:t xml:space="preserve">0.792</w:t>
            </w:r>
          </w:p>
        </w:tc>
        <w:tc>
          <w:tcPr/>
          <w:p>
            <w:pPr>
              <w:pStyle w:val="Compact"/>
              <w:jc w:val="right"/>
            </w:pPr>
            <w:r>
              <w:rPr>
                <w:i/>
                <w:iCs/>
              </w:rPr>
              <w:t xml:space="preserve">0.981</w:t>
            </w:r>
          </w:p>
        </w:tc>
        <w:tc>
          <w:tcPr/>
          <w:p>
            <w:pPr>
              <w:pStyle w:val="Compact"/>
              <w:jc w:val="right"/>
            </w:pPr>
            <w:r>
              <w:rPr>
                <w:i/>
                <w:iCs/>
              </w:rPr>
              <w:t xml:space="preserve">0.987</w:t>
            </w:r>
          </w:p>
        </w:tc>
      </w:tr>
    </w:tbl>
    <w:p>
      <w:pPr>
        <w:pStyle w:val="BodyText"/>
      </w:pPr>
      <w:r>
        <w:rPr>
          <w:b/>
          <w:bCs/>
        </w:rPr>
        <w:t xml:space="preserve">Table 8.</w:t>
      </w:r>
      <w:r>
        <w:t xml:space="preserve"> </w:t>
      </w:r>
      <w:r>
        <w:t xml:space="preserve">Ontology concordance within each agreement tier, three broad references on</w:t>
      </w:r>
      <w:r>
        <w:t xml:space="preserve"> </w:t>
      </w:r>
      <w:r>
        <w:t xml:space="preserve">identical cells, in three tissues: withheld cross-study liver (3,396 cells, 34 truth types),</w:t>
      </w:r>
      <w:r>
        <w:t xml:space="preserve"> </w:t>
      </w:r>
      <w:r>
        <w:t xml:space="preserve">the Krasnow lung atlas (65,662, 46) and the Allen human middle temporal gyrus (156,285, 18).</w:t>
      </w:r>
    </w:p>
    <w:p>
      <w:pPr>
        <w:pStyle w:val="BodyText"/>
      </w:pPr>
      <w:r>
        <w:t xml:space="preserve">One thing replicates in all three tissues: cells the references disagree about are annotated</w:t>
      </w:r>
      <w:r>
        <w:t xml:space="preserve"> </w:t>
      </w:r>
      <w:r>
        <w:t xml:space="preserve">far less reliably than cells they concur on, for every reference. The census model spans 0.690</w:t>
      </w:r>
      <w:r>
        <w:t xml:space="preserve"> </w:t>
      </w:r>
      <w:r>
        <w:t xml:space="preserve">to 0.212 across the liver partition, 0.934 to 0.059 across lung and 0.839 to 0.117 across</w:t>
      </w:r>
      <w:r>
        <w:t xml:space="preserve"> </w:t>
      </w:r>
      <w:r>
        <w:t xml:space="preserve">brain, with the same direction for the other two. That all three improve</w:t>
      </w:r>
      <w:r>
        <w:t xml:space="preserve"> </w:t>
      </w:r>
      <w:r>
        <w:rPr>
          <w:i/>
          <w:iCs/>
        </w:rPr>
        <w:t xml:space="preserve">together</w:t>
      </w:r>
      <w:r>
        <w:t xml:space="preserve"> </w:t>
      </w:r>
      <w:r>
        <w:t xml:space="preserve">is what</w:t>
      </w:r>
      <w:r>
        <w:t xml:space="preserve"> </w:t>
      </w:r>
      <w:r>
        <w:t xml:space="preserve">makes the partition useful — agreement selects cells that are unambiguous rather than cells one</w:t>
      </w:r>
      <w:r>
        <w:t xml:space="preserve"> </w:t>
      </w:r>
      <w:r>
        <w:t xml:space="preserve">model happens to get right — and unlike accuracy it can be computed on a query whose answers</w:t>
      </w:r>
      <w:r>
        <w:t xml:space="preserve"> </w:t>
      </w:r>
      <w:r>
        <w:t xml:space="preserve">are unknown, for the price of three sub-second calls.</w:t>
      </w:r>
    </w:p>
    <w:p>
      <w:pPr>
        <w:pStyle w:val="BodyText"/>
      </w:pPr>
      <w:r>
        <w:t xml:space="preserve">What does not replicate is how much of a query the agreeing set covers: 23% on liver, 48% on</w:t>
      </w:r>
      <w:r>
        <w:t xml:space="preserve"> </w:t>
      </w:r>
      <w:r>
        <w:t xml:space="preserve">lung, 94% on brain. Brain explains the spread rather than extending it. That query’s Cell</w:t>
      </w:r>
      <w:r>
        <w:t xml:space="preserve"> </w:t>
      </w:r>
      <w:r>
        <w:t xml:space="preserve">Ontology annotation uses</w:t>
      </w:r>
      <w:r>
        <w:t xml:space="preserve"> </w:t>
      </w:r>
      <w:r>
        <w:rPr>
          <w:b/>
          <w:bCs/>
        </w:rPr>
        <w:t xml:space="preserve">18 terms for a region whose own taxonomy,</w:t>
      </w:r>
      <w:r>
        <w:rPr>
          <w:b/>
          <w:bCs/>
        </w:rPr>
        <w:t xml:space="preserve"> </w:t>
      </w:r>
      <w:r>
        <w:rPr>
          <w:rStyle w:val="VerbatimChar"/>
          <w:b/>
          <w:bCs/>
        </w:rPr>
        <w:t xml:space="preserve">CCN201908210</w:t>
      </w:r>
      <w:r>
        <w:rPr>
          <w:b/>
          <w:bCs/>
        </w:rPr>
        <w:t xml:space="preserve">, defines</w:t>
      </w:r>
      <w:r>
        <w:rPr>
          <w:b/>
          <w:bCs/>
        </w:rPr>
        <w:t xml:space="preserve"> </w:t>
      </w:r>
      <w:r>
        <w:rPr>
          <w:b/>
          <w:bCs/>
        </w:rPr>
        <w:t xml:space="preserve">154 cell sets</w:t>
      </w:r>
      <w:r>
        <w:t xml:space="preserve"> </w:t>
      </w:r>
      <w:r>
        <w:t xml:space="preserve">— 151 of them present in this data, and the label set of the fine brain split</w:t>
      </w:r>
      <w:r>
        <w:t xml:space="preserve"> </w:t>
      </w:r>
      <w:r>
        <w:t xml:space="preserve">in §3.1 — while 55% of its cells fall in one class,</w:t>
      </w:r>
      <w:r>
        <w:t xml:space="preserve"> </w:t>
      </w:r>
      <w:r>
        <w:rPr>
          <w:rStyle w:val="VerbatimChar"/>
        </w:rPr>
        <w:t xml:space="preserve">L2/3-6 intratelencephalic projecting glutamatergic neuron</w:t>
      </w:r>
      <w:r>
        <w:t xml:space="preserve">. Concordances near 0.98 and agreement at 94% are what a coarse truth</w:t>
      </w:r>
      <w:r>
        <w:t xml:space="preserve"> </w:t>
      </w:r>
      <w:r>
        <w:t xml:space="preserve">vocabulary produces, not what an easy tissue produces. The partition reports the resolution of</w:t>
      </w:r>
      <w:r>
        <w:t xml:space="preserve"> </w:t>
      </w:r>
      <w:r>
        <w:t xml:space="preserve">the annotation it is scored against, which is a property of the query rather than of the</w:t>
      </w:r>
      <w:r>
        <w:t xml:space="preserve"> </w:t>
      </w:r>
      <w:r>
        <w:t xml:space="preserve">method, and is the form in which it is useful to a user: it says how much of</w:t>
      </w:r>
      <w:r>
        <w:t xml:space="preserve"> </w:t>
      </w:r>
      <w:r>
        <w:rPr>
          <w:i/>
          <w:iCs/>
        </w:rPr>
        <w:t xml:space="preserve">their</w:t>
      </w:r>
      <w:r>
        <w:t xml:space="preserve"> </w:t>
      </w:r>
      <w:r>
        <w:t xml:space="preserve">data is</w:t>
      </w:r>
      <w:r>
        <w:t xml:space="preserve"> </w:t>
      </w:r>
      <w:r>
        <w:t xml:space="preserve">unambiguous at the resolution</w:t>
      </w:r>
      <w:r>
        <w:t xml:space="preserve"> </w:t>
      </w:r>
      <w:r>
        <w:rPr>
          <w:i/>
          <w:iCs/>
        </w:rPr>
        <w:t xml:space="preserve">they</w:t>
      </w:r>
      <w:r>
        <w:t xml:space="preserve"> </w:t>
      </w:r>
      <w:r>
        <w:t xml:space="preserve">have.</w:t>
      </w:r>
    </w:p>
    <w:p>
      <w:pPr>
        <w:pStyle w:val="BodyText"/>
      </w:pPr>
      <w:r>
        <w:t xml:space="preserve">The consensus</w:t>
      </w:r>
      <w:r>
        <w:t xml:space="preserve"> </w:t>
      </w:r>
      <w:r>
        <w:rPr>
          <w:i/>
          <w:iCs/>
        </w:rPr>
        <w:t xml:space="preserve">label</w:t>
      </w:r>
      <w:r>
        <w:t xml:space="preserve"> </w:t>
      </w:r>
      <w:r>
        <w:t xml:space="preserve">is not the prize in any of the three, and brain shows why the rule</w:t>
      </w:r>
      <w:r>
        <w:t xml:space="preserve"> </w:t>
      </w:r>
      <w:r>
        <w:t xml:space="preserve">itself is weak. Taking the most specific call the agreeing references support scores 0.365 on</w:t>
      </w:r>
      <w:r>
        <w:t xml:space="preserve"> </w:t>
      </w:r>
      <w:r>
        <w:t xml:space="preserve">liver against the best single reference’s 0.408, 0.828 on lung against 0.831, and 0.837 on</w:t>
      </w:r>
      <w:r>
        <w:t xml:space="preserve"> </w:t>
      </w:r>
      <w:r>
        <w:t xml:space="preserve">brain against 0.987. That last gap is large because</w:t>
      </w:r>
      <w:r>
        <w:t xml:space="preserve"> </w:t>
      </w:r>
      <w:r>
        <w:t xml:space="preserve">“most specific agreeing call”</w:t>
      </w:r>
      <w:r>
        <w:t xml:space="preserve"> </w:t>
      </w:r>
      <w:r>
        <w:t xml:space="preserve">lets one</w:t>
      </w:r>
      <w:r>
        <w:t xml:space="preserve"> </w:t>
      </w:r>
      <w:r>
        <w:t xml:space="preserve">reference’s confident, lineage-compatible but wrong specificity override two correct coarser</w:t>
      </w:r>
      <w:r>
        <w:t xml:space="preserve"> </w:t>
      </w:r>
      <w:r>
        <w:t xml:space="preserve">calls: on the 94% of brain cells where all three agree, the two strong references score 0.997</w:t>
      </w:r>
      <w:r>
        <w:t xml:space="preserve"> </w:t>
      </w:r>
      <w:r>
        <w:t xml:space="preserve">and the consensus built from them scores 0.837. A better rule may exist; what the experiment</w:t>
      </w:r>
      <w:r>
        <w:t xml:space="preserve"> </w:t>
      </w:r>
      <w:r>
        <w:t xml:space="preserve">establishes is that the</w:t>
      </w:r>
      <w:r>
        <w:t xml:space="preserve"> </w:t>
      </w:r>
      <w:r>
        <w:rPr>
          <w:i/>
          <w:iCs/>
        </w:rPr>
        <w:t xml:space="preserve">partition</w:t>
      </w:r>
      <w:r>
        <w:t xml:space="preserve"> </w:t>
      </w:r>
      <w:r>
        <w:t xml:space="preserve">carries the information and the label does not.</w:t>
      </w:r>
    </w:p>
    <w:p>
      <w:pPr>
        <w:pStyle w:val="BodyText"/>
      </w:pPr>
      <w:r>
        <w:rPr>
          <w:b/>
          <w:bCs/>
        </w:rPr>
        <w:t xml:space="preserve">What counts as agreement is the ontology’s judgment, not ours.</w:t>
      </w:r>
      <w:r>
        <w:t xml:space="preserve"> </w:t>
      </w:r>
      <w:r>
        <w:t xml:space="preserve">The relation above is</w:t>
      </w:r>
      <w:r>
        <w:t xml:space="preserve"> </w:t>
      </w:r>
      <w:r>
        <w:t xml:space="preserve">inherited wholesale from the Cell Ontology: two calls agree when CL says one subsumes the</w:t>
      </w:r>
      <w:r>
        <w:t xml:space="preserve"> </w:t>
      </w:r>
      <w:r>
        <w:t xml:space="preserve">other. That is a dependency worth naming, because where CL is coarse or incomplete two</w:t>
      </w:r>
      <w:r>
        <w:t xml:space="preserve"> </w:t>
      </w:r>
      <w:r>
        <w:t xml:space="preserve">references naming the same population can be scored as disagreeing, and where it is deep a</w:t>
      </w:r>
      <w:r>
        <w:t xml:space="preserve"> </w:t>
      </w:r>
      <w:r>
        <w:t xml:space="preserve">pair of calls can agree at a resolution neither reference meant to assert. The comparison was</w:t>
      </w:r>
      <w:r>
        <w:t xml:space="preserve"> </w:t>
      </w:r>
      <w:r>
        <w:t xml:space="preserve">possible at all only because Pan-human Azimuth publishes a CL term for every node of its</w:t>
      </w:r>
      <w:r>
        <w:t xml:space="preserve"> </w:t>
      </w:r>
      <w:r>
        <w:t xml:space="preserve">typology; an annotator that ships no crosswalk cannot enter this analysis regardless of how</w:t>
      </w:r>
      <w:r>
        <w:t xml:space="preserve"> </w:t>
      </w:r>
      <w:r>
        <w:t xml:space="preserve">good its labels are.</w:t>
      </w:r>
    </w:p>
    <w:p>
      <w:pPr>
        <w:pStyle w:val="BodyText"/>
      </w:pPr>
      <w:r>
        <w:t xml:space="preserve">The alternative design targets exactly this problem, and looking at it closely shows why the</w:t>
      </w:r>
      <w:r>
        <w:t xml:space="preserve"> </w:t>
      </w:r>
      <w:r>
        <w:t xml:space="preserve">substitution is not free. The Common Cell type Nomenclature</w:t>
      </w:r>
      <w:r>
        <w:t xml:space="preserve"> </w:t>
      </w:r>
      <w:hyperlink r:id="rId68">
        <w:r>
          <w:rPr>
            <w:rStyle w:val="Hyperlink"/>
          </w:rPr>
          <w:t xml:space="preserve">[Miller 2020]</w:t>
        </w:r>
      </w:hyperlink>
      <w:r>
        <w:t xml:space="preserve"> </w:t>
      </w:r>
      <w:r>
        <w:t xml:space="preserve">gives each taxonomy’s</w:t>
      </w:r>
      <w:r>
        <w:t xml:space="preserve"> </w:t>
      </w:r>
      <w:r>
        <w:t xml:space="preserve">cell sets stable accessions (</w:t>
      </w:r>
      <w:r>
        <w:rPr>
          <w:rStyle w:val="VerbatimChar"/>
        </w:rPr>
        <w:t xml:space="preserve">CS[taxonomy id]_[n]</w:t>
      </w:r>
      <w:r>
        <w:t xml:space="preserve">) plus a curated alias layer, treating CL as</w:t>
      </w:r>
      <w:r>
        <w:t xml:space="preserve"> </w:t>
      </w:r>
      <w:r>
        <w:t xml:space="preserve">one alignment target rather than as the coordinate system. In the published human middle</w:t>
      </w:r>
      <w:r>
        <w:t xml:space="preserve"> </w:t>
      </w:r>
      <w:r>
        <w:t xml:space="preserve">temporal gyrus taxonomy</w:t>
      </w:r>
      <w:r>
        <w:t xml:space="preserve"> </w:t>
      </w:r>
      <w:r>
        <w:rPr>
          <w:rStyle w:val="VerbatimChar"/>
        </w:rPr>
        <w:t xml:space="preserve">CCN201908210</w:t>
      </w:r>
      <w:r>
        <w:t xml:space="preserve">, 154 cell sets carry an accession and a structure tag —</w:t>
      </w:r>
      <w:r>
        <w:t xml:space="preserve"> </w:t>
      </w:r>
      <w:r>
        <w:rPr>
          <w:rStyle w:val="VerbatimChar"/>
        </w:rPr>
        <w:t xml:space="preserve">UBERON:0002771</w:t>
      </w:r>
      <w:r>
        <w:t xml:space="preserve">, the gyrus itself — but</w:t>
      </w:r>
      <w:r>
        <w:t xml:space="preserve"> </w:t>
      </w:r>
      <w:r>
        <w:rPr>
          <w:b/>
          <w:bCs/>
        </w:rPr>
        <w:t xml:space="preserve">no cell-type ontology id at all</w:t>
      </w:r>
      <w:r>
        <w:t xml:space="preserve">; the field that</w:t>
      </w:r>
      <w:r>
        <w:t xml:space="preserve"> </w:t>
      </w:r>
      <w:r>
        <w:t xml:space="preserve">matches cell sets across taxonomies, the aligned alias, is populated for</w:t>
      </w:r>
      <w:r>
        <w:t xml:space="preserve"> </w:t>
      </w:r>
      <w:r>
        <w:rPr>
          <w:b/>
          <w:bCs/>
        </w:rPr>
        <w:t xml:space="preserve">23 of the 154</w:t>
      </w:r>
      <w:r>
        <w:t xml:space="preserve">. Of</w:t>
      </w:r>
      <w:r>
        <w:t xml:space="preserve"> </w:t>
      </w:r>
      <w:r>
        <w:t xml:space="preserve">those 23, eight match a CL term name or synonym by exact string (</w:t>
      </w:r>
      <w:r>
        <w:rPr>
          <w:rStyle w:val="VerbatimChar"/>
        </w:rPr>
        <w:t xml:space="preserve">L2/3 IT</w:t>
      </w:r>
      <w:r>
        <w:t xml:space="preserve">,</w:t>
      </w:r>
      <w:r>
        <w:t xml:space="preserve"> </w:t>
      </w:r>
      <w:r>
        <w:rPr>
          <w:rStyle w:val="VerbatimChar"/>
        </w:rPr>
        <w:t xml:space="preserve">L5 IT</w:t>
      </w:r>
      <w:r>
        <w:t xml:space="preserve">,</w:t>
      </w:r>
      <w:r>
        <w:t xml:space="preserve"> </w:t>
      </w:r>
      <w:r>
        <w:rPr>
          <w:rStyle w:val="VerbatimChar"/>
        </w:rPr>
        <w:t xml:space="preserve">L5/6 NP</w:t>
      </w:r>
      <w:r>
        <w:t xml:space="preserve">,</w:t>
      </w:r>
      <w:r>
        <w:t xml:space="preserve"> </w:t>
      </w:r>
      <w:r>
        <w:rPr>
          <w:rStyle w:val="VerbatimChar"/>
        </w:rPr>
        <w:t xml:space="preserve">L6 CT</w:t>
      </w:r>
      <w:r>
        <w:t xml:space="preserve">,</w:t>
      </w:r>
      <w:r>
        <w:t xml:space="preserve"> </w:t>
      </w:r>
      <w:r>
        <w:rPr>
          <w:rStyle w:val="VerbatimChar"/>
        </w:rPr>
        <w:t xml:space="preserve">L6 IT</w:t>
      </w:r>
      <w:r>
        <w:t xml:space="preserve">,</w:t>
      </w:r>
      <w:r>
        <w:t xml:space="preserve"> </w:t>
      </w:r>
      <w:r>
        <w:rPr>
          <w:rStyle w:val="VerbatimChar"/>
        </w:rPr>
        <w:t xml:space="preserve">Lamp5</w:t>
      </w:r>
      <w:r>
        <w:t xml:space="preserve">,</w:t>
      </w:r>
      <w:r>
        <w:t xml:space="preserve"> </w:t>
      </w:r>
      <w:r>
        <w:rPr>
          <w:rStyle w:val="VerbatimChar"/>
        </w:rPr>
        <w:t xml:space="preserve">OPC</w:t>
      </w:r>
      <w:r>
        <w:t xml:space="preserve">,</w:t>
      </w:r>
      <w:r>
        <w:t xml:space="preserve"> </w:t>
      </w:r>
      <w:r>
        <w:rPr>
          <w:rStyle w:val="VerbatimChar"/>
        </w:rPr>
        <w:t xml:space="preserve">Sst Chodl</w:t>
      </w:r>
      <w:r>
        <w:t xml:space="preserve">); most of the rest are abbreviations such as</w:t>
      </w:r>
      <w:r>
        <w:t xml:space="preserve"> </w:t>
      </w:r>
      <w:r>
        <w:rPr>
          <w:rStyle w:val="VerbatimChar"/>
        </w:rPr>
        <w:t xml:space="preserve">Astro</w:t>
      </w:r>
      <w:r>
        <w:t xml:space="preserve">,</w:t>
      </w:r>
      <w:r>
        <w:t xml:space="preserve"> </w:t>
      </w:r>
      <w:r>
        <w:rPr>
          <w:rStyle w:val="VerbatimChar"/>
        </w:rPr>
        <w:t xml:space="preserve">Oligo</w:t>
      </w:r>
      <w:r>
        <w:t xml:space="preserve"> </w:t>
      </w:r>
      <w:r>
        <w:t xml:space="preserve">and</w:t>
      </w:r>
      <w:r>
        <w:t xml:space="preserve"> </w:t>
      </w:r>
      <w:r>
        <w:rPr>
          <w:rStyle w:val="VerbatimChar"/>
        </w:rPr>
        <w:t xml:space="preserve">Endo</w:t>
      </w:r>
      <w:r>
        <w:t xml:space="preserve"> </w:t>
      </w:r>
      <w:r>
        <w:t xml:space="preserve">whose expansions do exist in CL, so the true overlap is larger than</w:t>
      </w:r>
      <w:r>
        <w:t xml:space="preserve"> </w:t>
      </w:r>
      <w:r>
        <w:t xml:space="preserve">a string test finds and is exactly as large as someone is willing to curate.</w:t>
      </w:r>
    </w:p>
    <w:p>
      <w:pPr>
        <w:pStyle w:val="BodyText"/>
      </w:pPr>
      <w:r>
        <w:t xml:space="preserve">The benchmark scores those cell sets directly: the 151-type brain split of §3.1 uses them as</w:t>
      </w:r>
      <w:r>
        <w:t xml:space="preserve"> </w:t>
      </w:r>
      <w:r>
        <w:t xml:space="preserve">its label set, and there the missing ontology mapping stops being an inconvenience and becomes</w:t>
      </w:r>
      <w:r>
        <w:t xml:space="preserve"> </w:t>
      </w:r>
      <w:r>
        <w:t xml:space="preserve">the condition of the problem. Calls at that resolution cannot be checked against an ontology at</w:t>
      </w:r>
      <w:r>
        <w:t xml:space="preserve"> </w:t>
      </w:r>
      <w:r>
        <w:t xml:space="preserve">all, only against the taxonomy’s own strings — which is also why that split is scored by exact</w:t>
      </w:r>
      <w:r>
        <w:t xml:space="preserve"> </w:t>
      </w:r>
      <w:r>
        <w:t xml:space="preserve">match alone, and why the ranking it produces (correlation methods first, trained classifiers</w:t>
      </w:r>
      <w:r>
        <w:t xml:space="preserve"> </w:t>
      </w:r>
      <w:r>
        <w:t xml:space="preserve">last) cannot be cross-checked against the ontology-aware column that reconciles vocabularies</w:t>
      </w:r>
      <w:r>
        <w:t xml:space="preserve"> </w:t>
      </w:r>
      <w:r>
        <w:t xml:space="preserve">everywhere else in this paper.</w:t>
      </w:r>
    </w:p>
    <w:p>
      <w:pPr>
        <w:pStyle w:val="BodyText"/>
      </w:pPr>
      <w:r>
        <w:t xml:space="preserve">That is the substantive difference. CL supplies a</w:t>
      </w:r>
      <w:r>
        <w:t xml:space="preserve"> </w:t>
      </w:r>
      <w:r>
        <w:rPr>
          <w:i/>
          <w:iCs/>
        </w:rPr>
        <w:t xml:space="preserve">total</w:t>
      </w:r>
      <w:r>
        <w:t xml:space="preserve"> </w:t>
      </w:r>
      <w:r>
        <w:t xml:space="preserve">subsumption relation — every pair of</w:t>
      </w:r>
      <w:r>
        <w:t xml:space="preserve"> </w:t>
      </w:r>
      <w:r>
        <w:t xml:space="preserve">terms is comparable, at whatever granularity CL happens to encode — which is what makes an</w:t>
      </w:r>
      <w:r>
        <w:t xml:space="preserve"> </w:t>
      </w:r>
      <w:r>
        <w:t xml:space="preserve">agreement partition computable at all. CCN supplies exact provenance, which CL cannot: it</w:t>
      </w:r>
      <w:r>
        <w:t xml:space="preserve"> </w:t>
      </w:r>
      <w:r>
        <w:t xml:space="preserve">records which taxonomy, which algorithm and which publication a label came from. An agreement</w:t>
      </w:r>
      <w:r>
        <w:t xml:space="preserve"> </w:t>
      </w:r>
      <w:r>
        <w:t xml:space="preserve">relation built on CCN accessions alone would be undefined for most pairs of cell sets, because</w:t>
      </w:r>
      <w:r>
        <w:t xml:space="preserve"> </w:t>
      </w:r>
      <w:r>
        <w:t xml:space="preserve">accessions are deliberately taxonomy-scoped rather than shared. The two systems answer</w:t>
      </w:r>
      <w:r>
        <w:t xml:space="preserve"> </w:t>
      </w:r>
      <w:r>
        <w:t xml:space="preserve">different questions, and a workflow that compares annotations across references needs both: CL</w:t>
      </w:r>
      <w:r>
        <w:t xml:space="preserve"> </w:t>
      </w:r>
      <w:r>
        <w:t xml:space="preserve">to decide whether two calls are compatible, CCN to say what each call actually was.</w:t>
      </w:r>
    </w:p>
    <w:bookmarkEnd w:id="69"/>
    <w:bookmarkStart w:id="76"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we sweep a confidence threshold over every method</w:t>
      </w:r>
      <w:r>
        <w:t xml:space="preserve"> </w:t>
      </w:r>
      <w:r>
        <w:t xml:space="preserve">that returns a per-cell confidence. Eight do; for scANVI and scArches the confidence is the</w:t>
      </w:r>
      <w:r>
        <w:t xml:space="preserve"> </w:t>
      </w:r>
      <w:r>
        <w:t xml:space="preserve">maximum class posterior from the model’s soft prediction. SVM, SingleR and scPRINT return no</w:t>
      </w:r>
      <w:r>
        <w:t xml:space="preserve"> </w:t>
      </w:r>
      <w:r>
        <w:t xml:space="preserve">per-cell confidence and cannot be swept, and scmap-cluster has a single native</w:t>
      </w:r>
      <w:r>
        <w:t xml:space="preserve"> </w:t>
      </w:r>
      <w:r>
        <w:t xml:space="preserve">“unassigned”</w:t>
      </w:r>
      <w:r>
        <w:t xml:space="preserve"> </w:t>
      </w:r>
      <w:r>
        <w:t xml:space="preserve">decision rather than a threshold.</w:t>
      </w:r>
    </w:p>
    <w:p>
      <w:pPr>
        <w:pStyle w:val="BodyText"/>
      </w:pPr>
      <w:r>
        <w:drawing>
          <wp:inline>
            <wp:extent cx="5334000" cy="2684806"/>
            <wp:effectExtent b="0" l="0" r="0" t="0"/>
            <wp:docPr descr="what a threshold does to each method" title="" id="71" name="Picture"/>
            <a:graphic>
              <a:graphicData uri="http://schemas.openxmlformats.org/drawingml/2006/picture">
                <pic:pic>
                  <pic:nvPicPr>
                    <pic:cNvPr descr="/Users/iandriver/Downloads/actinn-jax-benchmark/docs/figures/fig_abstain_grid.png" id="72" name="Picture"/>
                    <pic:cNvPicPr>
                      <a:picLocks noChangeArrowheads="1" noChangeAspect="1"/>
                    </pic:cNvPicPr>
                  </pic:nvPicPr>
                  <pic:blipFill>
                    <a:blip r:embed="rId70"/>
                    <a:stretch>
                      <a:fillRect/>
                    </a:stretch>
                  </pic:blipFill>
                  <pic:spPr bwMode="auto">
                    <a:xfrm>
                      <a:off x="0" y="0"/>
                      <a:ext cx="5334000" cy="2684806"/>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What a confidence threshold does to each of the eight methods that return a</w:t>
      </w:r>
      <w:r>
        <w:t xml:space="preserve"> </w:t>
      </w:r>
      <w:r>
        <w:t xml:space="preserve">per-cell confidence, with 9 of 36 cell types held out of the liver reference so 1,350 query</w:t>
      </w:r>
      <w:r>
        <w:t xml:space="preserve"> </w:t>
      </w:r>
      <w:r>
        <w:t xml:space="preserve">cells are out-of-distribution. Every quantity is a fraction, so all three share one axis:</w:t>
      </w:r>
      <w:r>
        <w:t xml:space="preserve"> </w:t>
      </w:r>
      <w:r>
        <w:t xml:space="preserve">accuracy on kept cells, coverage, and the share of held-out-type cells flagged. The five that</w:t>
      </w:r>
      <w:r>
        <w:t xml:space="preserve"> </w:t>
      </w:r>
      <w:r>
        <w:t xml:space="preserve">work share a shape — accuracy and novelty rising as coverage falls — and the three that do not</w:t>
      </w:r>
      <w:r>
        <w:t xml:space="preserve"> </w:t>
      </w:r>
      <w:r>
        <w:t xml:space="preserve">each fail visibly and differently. Per-threshold values are in</w:t>
      </w:r>
      <w:r>
        <w:t xml:space="preserve"> </w:t>
      </w:r>
      <w:r>
        <w:rPr>
          <w:rStyle w:val="VerbatimChar"/>
        </w:rPr>
        <w:t xml:space="preserve">results_rejection.csv</w:t>
      </w:r>
      <w:r>
        <w:t xml:space="preserve">.</w:t>
      </w:r>
    </w:p>
    <w:p>
      <w:pPr>
        <w:pStyle w:val="BodyText"/>
      </w:pPr>
      <w:r>
        <w:rPr>
          <w:b/>
          <w:bCs/>
        </w:rPr>
        <w:t xml:space="preserve">Five of the eight give a threshold that does something; three do not.</w:t>
      </w:r>
      <w:r>
        <w:t xml:space="preserve"> </w:t>
      </w:r>
      <w:r>
        <w:t xml:space="preserve">actinn-jax,</w:t>
      </w:r>
      <w:r>
        <w:t xml:space="preserve"> </w:t>
      </w:r>
      <w:r>
        <w:t xml:space="preserve">scArches, scANVI, the linear pipeline and kNN all trade coverage for accuracy across the</w:t>
      </w:r>
      <w:r>
        <w:t xml:space="preserve"> </w:t>
      </w:r>
      <w:r>
        <w:t xml:space="preserve">range. The other three fail in different ways: CellTypist’s probabilities are saturated near 0</w:t>
      </w:r>
      <w:r>
        <w:t xml:space="preserve"> </w:t>
      </w:r>
      <w:r>
        <w:t xml:space="preserve">or 1, so every threshold from 0.3 to 0.9 lands on one operating point; scTOP’s projection score</w:t>
      </w:r>
      <w:r>
        <w:t xml:space="preserve"> </w:t>
      </w:r>
      <w:r>
        <w:t xml:space="preserve">is not a calibrated probability and discards all but 6% of the query by p≥0.5; ProtoCloud’s</w:t>
      </w:r>
      <w:r>
        <w:t xml:space="preserve"> </w:t>
      </w:r>
      <w:r>
        <w:t xml:space="preserve">ambiguity flag barely moves until 0.9.</w:t>
      </w:r>
    </w:p>
    <w:p>
      <w:pPr>
        <w:pStyle w:val="BodyText"/>
      </w:pPr>
      <w:r>
        <w:t xml:space="preserve">Among the five that work, abstain quality does not separate them the way cost does</w:t>
      </w:r>
      <w:r>
        <w:t xml:space="preserve"> </w:t>
      </w:r>
      <w:r>
        <w:t xml:space="preserve">(Figure 8). actinn-jax and scArches are effectively tied — at p≥0.9, 0.969 accuracy on 66% of cells with</w:t>
      </w:r>
      <w:r>
        <w:t xml:space="preserve"> </w:t>
      </w:r>
      <w:r>
        <w:t xml:space="preserve">73% of novel cells flagged against 0.983 on 61% with 71% flagged — and scANVI is close behind.</w:t>
      </w:r>
      <w:r>
        <w:t xml:space="preserve"> </w:t>
      </w:r>
      <w:r>
        <w:t xml:space="preserve">kNN reaches the highest novelty detection (83%) by keeping only 36% of the query, which is a</w:t>
      </w:r>
      <w:r>
        <w:t xml:space="preserve"> </w:t>
      </w:r>
      <w:r>
        <w:t xml:space="preserve">different operating regime rather than a better one, and the linear pipeline is the weakest</w:t>
      </w:r>
      <w:r>
        <w:t xml:space="preserve"> </w:t>
      </w:r>
      <w:r>
        <w:t xml:space="preserve">here, flagging 46% of novel cells at the threshold where actinn-jax flags 73%. The distinction</w:t>
      </w:r>
      <w:r>
        <w:t xml:space="preserve"> </w:t>
      </w:r>
      <w:r>
        <w:t xml:space="preserve">worth drawing is therefore not that actinn-jax abstains better than the deep methods but that</w:t>
      </w:r>
      <w:r>
        <w:t xml:space="preserve"> </w:t>
      </w:r>
      <w:r>
        <w:t xml:space="preserve">it abstains as well for 0.54 s of predict time against scArches’s 17.2 s and scANVI’s 66.7 s</w:t>
      </w:r>
      <w:r>
        <w:t xml:space="preserve"> </w:t>
      </w:r>
      <w:r>
        <w:t xml:space="preserve">(Table 3) — the same accuracy-at-a-fraction-of-the-cost pattern §3.1 reports, applied to the</w:t>
      </w:r>
      <w:r>
        <w:t xml:space="preserve"> </w:t>
      </w:r>
      <w:r>
        <w:t xml:space="preserve">mechanism the workflow of §3.4 routes on.</w:t>
      </w:r>
    </w:p>
    <w:p>
      <w:pPr>
        <w:pStyle w:val="BodyText"/>
      </w:pPr>
      <w:r>
        <w:drawing>
          <wp:inline>
            <wp:extent cx="5334000" cy="2395249"/>
            <wp:effectExtent b="0" l="0" r="0" t="0"/>
            <wp:docPr descr="the abstain trade-off" title="" id="74" name="Picture"/>
            <a:graphic>
              <a:graphicData uri="http://schemas.openxmlformats.org/drawingml/2006/picture">
                <pic:pic>
                  <pic:nvPicPr>
                    <pic:cNvPr descr="/Users/iandriver/Downloads/actinn-jax-benchmark/docs/figures/fig_abstain.png" id="75" name="Picture"/>
                    <pic:cNvPicPr>
                      <a:picLocks noChangeArrowheads="1" noChangeAspect="1"/>
                    </pic:cNvPicPr>
                  </pic:nvPicPr>
                  <pic:blipFill>
                    <a:blip r:embed="rId73"/>
                    <a:stretch>
                      <a:fillRect/>
                    </a:stretch>
                  </pic:blipFill>
                  <pic:spPr bwMode="auto">
                    <a:xfrm>
                      <a:off x="0" y="0"/>
                      <a:ext cx="5334000" cy="2395249"/>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The same sweep read as a trade-off, which is what compares methods to each</w:t>
      </w:r>
      <w:r>
        <w:t xml:space="preserve"> </w:t>
      </w:r>
      <w:r>
        <w:t xml:space="preserve">other rather than to themselves.</w:t>
      </w:r>
      <w:r>
        <w:t xml:space="preserve"> </w:t>
      </w:r>
      <w:r>
        <w:rPr>
          <w:i/>
          <w:iCs/>
        </w:rPr>
        <w:t xml:space="preserve">Left:</w:t>
      </w:r>
      <w:r>
        <w:t xml:space="preserve"> </w:t>
      </w:r>
      <w:r>
        <w:t xml:space="preserve">accuracy on kept cells against the fraction kept — the</w:t>
      </w:r>
      <w:r>
        <w:t xml:space="preserve"> </w:t>
      </w:r>
      <w:r>
        <w:t xml:space="preserve">five usable methods lie along one band, which is the basis for calling their abstain quality</w:t>
      </w:r>
      <w:r>
        <w:t xml:space="preserve"> </w:t>
      </w:r>
      <w:r>
        <w:t xml:space="preserve">tied.</w:t>
      </w:r>
      <w:r>
        <w:t xml:space="preserve"> </w:t>
      </w:r>
      <w:r>
        <w:rPr>
          <w:i/>
          <w:iCs/>
        </w:rPr>
        <w:t xml:space="preserve">Right:</w:t>
      </w:r>
      <w:r>
        <w:t xml:space="preserve"> </w:t>
      </w:r>
      <w:r>
        <w:t xml:space="preserve">the share of held-out-type cells flagged as the threshold rises. The three</w:t>
      </w:r>
      <w:r>
        <w:t xml:space="preserve"> </w:t>
      </w:r>
      <w:r>
        <w:t xml:space="preserve">methods Figure 7 shows failing appear here as curves that go nowhere along one axis or the</w:t>
      </w:r>
      <w:r>
        <w:t xml:space="preserve"> </w:t>
      </w:r>
      <w:r>
        <w:t xml:space="preserve">other.</w:t>
      </w:r>
    </w:p>
    <w:bookmarkEnd w:id="76"/>
    <w:bookmarkStart w:id="77"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7"/>
    <w:bookmarkStart w:id="86"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8">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9">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9).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10)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81" name="Picture"/>
            <a:graphic>
              <a:graphicData uri="http://schemas.openxmlformats.org/drawingml/2006/picture">
                <pic:pic>
                  <pic:nvPicPr>
                    <pic:cNvPr descr="/Users/iandriver/Downloads/actinn-jax-benchmark/docs/figures/gene_budget_curve.png" id="82" name="Picture"/>
                    <pic:cNvPicPr>
                      <a:picLocks noChangeArrowheads="1" noChangeAspect="1"/>
                    </pic:cNvPicPr>
                  </pic:nvPicPr>
                  <pic:blipFill>
                    <a:blip r:embed="rId80"/>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9.</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84" name="Picture"/>
            <a:graphic>
              <a:graphicData uri="http://schemas.openxmlformats.org/drawingml/2006/picture">
                <pic:pic>
                  <pic:nvPicPr>
                    <pic:cNvPr descr="/Users/iandriver/Downloads/actinn-jax-benchmark/docs/figures/gene_budget_signals.png" id="85" name="Picture"/>
                    <pic:cNvPicPr>
                      <a:picLocks noChangeArrowheads="1" noChangeAspect="1"/>
                    </pic:cNvPicPr>
                  </pic:nvPicPr>
                  <pic:blipFill>
                    <a:blip r:embed="rId83"/>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10.</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cost real accuracy — about 10 points. hypomap drifts down as well,</w:t>
      </w:r>
      <w:r>
        <w:t xml:space="preserve"> </w:t>
      </w:r>
      <w:r>
        <w:t xml:space="preserve">but from a saturated 0.998, and neither signal flags it.</w:t>
      </w:r>
    </w:p>
    <w:bookmarkEnd w:id="86"/>
    <w:bookmarkEnd w:id="87"/>
    <w:bookmarkStart w:id="89"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~205×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w:t>
      </w:r>
      <w:r>
        <w:t xml:space="preserve"> </w:t>
      </w:r>
      <w:r>
        <w:t xml:space="preserve">— flat in reference size, and rising 3.2× with</w:t>
      </w:r>
      <w:r>
        <w:t xml:space="preserve"> </w:t>
      </w:r>
      <w:r>
        <w:t xml:space="preserve">cardinality while staying under a third of a second (§3.3) — so a query costs the same</w:t>
      </w:r>
      <w:r>
        <w:t xml:space="preserve"> </w:t>
      </w:r>
      <w:r>
        <w:t xml:space="preserve">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8">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What no fixed typology can do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9"/>
    <w:bookmarkStart w:id="90"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eight splits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rPr>
          <w:b/>
          <w:bCs/>
        </w:rPr>
        <w:t xml:space="preserve">actinn-jax’s standing is worse at very fine granularity.</w:t>
      </w:r>
      <w:r>
        <w:t xml:space="preserve"> </w:t>
      </w:r>
      <w:r>
        <w:t xml:space="preserve">On the 151-type brain cluster</w:t>
      </w:r>
      <w:r>
        <w:t xml:space="preserve"> </w:t>
      </w:r>
      <w:r>
        <w:t xml:space="preserve">split it places tenth of eleven (0.741 against SingleR’s 0.845, §3.1), and the two</w:t>
      </w:r>
      <w:r>
        <w:t xml:space="preserve"> </w:t>
      </w:r>
      <w:r>
        <w:t xml:space="preserve">correlation methods that trail everywhere else lead there. The panel covers exactly one split</w:t>
      </w:r>
      <w:r>
        <w:t xml:space="preserve"> </w:t>
      </w:r>
      <w:r>
        <w:t xml:space="preserve">at that cardinality, so this is a signal rather than a characterization — but it runs opposite</w:t>
      </w:r>
      <w:r>
        <w:t xml:space="preserve"> </w:t>
      </w:r>
      <w:r>
        <w:t xml:space="preserve">to the 86-type blood+gut result, and a user annotating at cluster resolution should not read</w:t>
      </w:r>
      <w:r>
        <w:t xml:space="preserve"> </w:t>
      </w:r>
      <w:r>
        <w:t xml:space="preserve">the aggregate in Table 3 as covering that case.</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90"/>
    <w:bookmarkStart w:id="97"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It is</w:t>
      </w:r>
      <w:r>
        <w:t xml:space="preserve"> </w:t>
      </w:r>
      <w:r>
        <w:t xml:space="preserve">archived at</w:t>
      </w:r>
      <w:r>
        <w:t xml:space="preserve"> </w:t>
      </w:r>
      <w:hyperlink r:id="rId91">
        <w:r>
          <w:rPr>
            <w:rStyle w:val="Hyperlink"/>
          </w:rPr>
          <w:t xml:space="preserve">doi:10.5281/zenodo.21911372</w:t>
        </w:r>
      </w:hyperlink>
      <w:r>
        <w:t xml:space="preserve"> </w:t>
      </w:r>
      <w:r>
        <w:t xml:space="preserve">(MIT; a</w:t>
      </w:r>
      <w:r>
        <w:t xml:space="preserve"> </w:t>
      </w:r>
      <w:r>
        <w:t xml:space="preserve">concept DOI that resolves to the most recent release), which is what to cite for reproduction</w:t>
      </w:r>
      <w:r>
        <w:t xml:space="preserve"> </w:t>
      </w:r>
      <w:r>
        <w:t xml:space="preserve">rather than the default branch, since the branch may move on. The</w:t>
      </w:r>
      <w:r>
        <w:t xml:space="preserve"> </w:t>
      </w:r>
      <w:hyperlink r:id="rId92">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93">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94">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95">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96">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S1–S11 — confusion matrices</w:t>
      </w:r>
      <w:r>
        <w:t xml:space="preserve"> </w:t>
      </w:r>
      <w:r>
        <w:t xml:space="preserve">with ontology-equivalent errors outlined, per-class recall across eleven methods on four</w:t>
      </w:r>
      <w:r>
        <w:t xml:space="preserve"> </w:t>
      </w:r>
      <w:r>
        <w:t xml:space="preserve">splits, the cost and scaling studies, the abstain sweeps, and the per-split view behind</w:t>
      </w:r>
      <w:r>
        <w:t xml:space="preserve"> </w:t>
      </w:r>
      <w:r>
        <w:t xml:space="preserve">Figure 1 — and Tables S1–S3, the method and dataset descriptions and per-dataset accuracy.</w:t>
      </w:r>
    </w:p>
    <w:bookmarkEnd w:id="97"/>
    <w:bookmarkStart w:id="98"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9">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Miller JA, Gouwens NW, Tasic B, et al. Common cell type nomenclature for the mammalian brain.</w:t>
      </w:r>
      <w:r>
        <w:t xml:space="preserve"> </w:t>
      </w:r>
      <w:r>
        <w:rPr>
          <w:i/>
          <w:iCs/>
        </w:rPr>
        <w:t xml:space="preserve">eLife</w:t>
      </w:r>
      <w:r>
        <w:t xml:space="preserve"> </w:t>
      </w:r>
      <w:r>
        <w:t xml:space="preserve">9:e59928 (2020).</w:t>
      </w:r>
      <w:r>
        <w:t xml:space="preserve"> </w:t>
      </w:r>
      <w:hyperlink r:id="rId68">
        <w:r>
          <w:rPr>
            <w:rStyle w:val="Hyperlink"/>
          </w:rPr>
          <w:t xml:space="preserve">doi:10.7554/eLife.59928</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8">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55" Target="media/rId55.png" /><Relationship Type="http://schemas.openxmlformats.org/officeDocument/2006/relationships/image" Id="rId48" Target="media/rId48.png" /><Relationship Type="http://schemas.openxmlformats.org/officeDocument/2006/relationships/image" Id="rId65" Target="media/rId65.png" /><Relationship Type="http://schemas.openxmlformats.org/officeDocument/2006/relationships/image" Id="rId58" Target="media/rId58.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hyperlink" Id="rId36" Target="https://chanzuckerberg.github.io/cellxgene-census/" TargetMode="External" /><Relationship Type="http://schemas.openxmlformats.org/officeDocument/2006/relationships/hyperlink" Id="rId95"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9"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96" Target="https://doi.org/10.5281/zenodo.20401417" TargetMode="External" /><Relationship Type="http://schemas.openxmlformats.org/officeDocument/2006/relationships/hyperlink" Id="rId94" Target="https://doi.org/10.5281/zenodo.21688150" TargetMode="External" /><Relationship Type="http://schemas.openxmlformats.org/officeDocument/2006/relationships/hyperlink" Id="rId93" Target="https://doi.org/10.5281/zenodo.21688151" TargetMode="External" /><Relationship Type="http://schemas.openxmlformats.org/officeDocument/2006/relationships/hyperlink" Id="rId91" Target="https://doi.org/10.5281/zenodo.21911372" TargetMode="External" /><Relationship Type="http://schemas.openxmlformats.org/officeDocument/2006/relationships/hyperlink" Id="rId88"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68" Target="https://doi.org/10.7554/eLife.59928" TargetMode="External" /><Relationship Type="http://schemas.openxmlformats.org/officeDocument/2006/relationships/hyperlink" Id="rId92"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8"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95"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9"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96" Target="https://doi.org/10.5281/zenodo.20401417" TargetMode="External" /><Relationship Type="http://schemas.openxmlformats.org/officeDocument/2006/relationships/hyperlink" Id="rId94" Target="https://doi.org/10.5281/zenodo.21688150" TargetMode="External" /><Relationship Type="http://schemas.openxmlformats.org/officeDocument/2006/relationships/hyperlink" Id="rId93" Target="https://doi.org/10.5281/zenodo.21688151" TargetMode="External" /><Relationship Type="http://schemas.openxmlformats.org/officeDocument/2006/relationships/hyperlink" Id="rId91" Target="https://doi.org/10.5281/zenodo.21911372" TargetMode="External" /><Relationship Type="http://schemas.openxmlformats.org/officeDocument/2006/relationships/hyperlink" Id="rId88"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68" Target="https://doi.org/10.7554/eLife.59928" TargetMode="External" /><Relationship Type="http://schemas.openxmlformats.org/officeDocument/2006/relationships/hyperlink" Id="rId92"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8"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benchmark of cell-type annotation methods for single-cell data: cost, not accuracy, distinguishes them</dc:title>
  <dc:creator>Ian Driver</dc:creator>
  <cp:keywords/>
  <dcterms:created xsi:type="dcterms:W3CDTF">2026-08-18T03:06:02Z</dcterms:created>
  <dcterms:modified xsi:type="dcterms:W3CDTF">2026-08-18T03:06:02Z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one of the most repeated operations in single-cell analysis, yet comparisons report accuracy far more often than the time and memory that decide what a scientist can actually run. We benchmarked thirteen methods, classical through foundation-model, across eight splits of seven datasets (8–151 cell types) on commodity hardware, and on Open Problems label_projection, whose datasets and metrics we did not choose. Accuracy among the leading methods is tightly clustered — the top four span 0.008 — while their inference cost differs by two orders of magnitude and their peak memory by 2.5×. No method leads everywhere, and no ordering is stable — it inverts with reference size, feature budget and label granularity. With several methods both accurate and cheap, the useful question is not which is best but what cheap annotation makes possible. Using actinn-jax, a JAX reimplementation of ACTINN whose cached reference maps a query in under a second, we show annotation becoming a multi-pass workflow rather than a single decision: a shipped ~800-type reference routes a query to tissue and hands off to a focused one (cross-study liver 0.23/0.58 to 0.72/0.86, exact/ontology); a pan-human annotator distills into an interchangeable entry point from raw counts alone — no GPU, no labels — matching its teacher at six to nine times the throughput; and three broad references over the same cells partition it by agreement. In liver, lung and brain every reference is far more accurate where all three concur, though a consensus label beats none of them: the value is knowing which calls to trust. We release the reimplementation, the harness and the pre-trained references.</vt:lpwstr>
  </property>
  <property fmtid="{D5CDD505-2E9C-101B-9397-08002B2CF9AE}" pid="3" name="date">
    <vt:lpwstr/>
  </property>
</Properties>
</file>