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6.png" ContentType="image/png"/>
  <Override PartName="/word/media/rId26.png" ContentType="image/png"/>
  <Override PartName="/word/media/rId9.png" ContentType="image/png"/>
  <Override PartName="/word/media/rId43.png" ContentType="image/png"/>
  <Override PartName="/word/media/rId12.png" ContentType="image/png"/>
  <Override PartName="/word/media/rId21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S1–S11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825741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explanation, and on this</w:t>
      </w:r>
      <w:r>
        <w:t xml:space="preserve"> </w:t>
      </w:r>
      <w:r>
        <w:t xml:space="preserve">split it cannot be: capping per label leaves</w:t>
      </w:r>
      <w:r>
        <w:t xml:space="preserve"> </w:t>
      </w:r>
      <w:r>
        <w:rPr>
          <w:b/>
          <w:bCs/>
        </w:rPr>
        <w:t xml:space="preserve">84 of the 86 classes holding exactly 30 test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, with the remaining two at 29 and 14. There is no size variation left for rarity to</w:t>
      </w:r>
      <w:r>
        <w:t xml:space="preserve"> </w:t>
      </w:r>
      <w:r>
        <w:t xml:space="preserve">act through, so the disagreement is about which types a method finds hard, not how many</w:t>
      </w:r>
      <w:r>
        <w:t xml:space="preserve"> </w:t>
      </w:r>
      <w:r>
        <w:t xml:space="preserve">examples it saw.</w:t>
      </w:r>
    </w:p>
    <w:p>
      <w:pPr>
        <w:pStyle w:val="BodyText"/>
      </w:pPr>
      <w:r>
        <w:drawing>
          <wp:inline>
            <wp:extent cx="5334000" cy="3866932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6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4023132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p>
      <w:pPr>
        <w:pStyle w:val="BodyText"/>
      </w:pPr>
      <w:r>
        <w:drawing>
          <wp:inline>
            <wp:extent cx="5334000" cy="4186558"/>
            <wp:effectExtent b="0" l="0" r="0" t="0"/>
            <wp:docPr descr="per-class recall, brain clusters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rain_clust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6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151-type brain cluster split, drawn as in Figure S2.</w:t>
      </w:r>
      <w:r>
        <w:t xml:space="preserve"> </w:t>
      </w:r>
      <w:r>
        <w:t xml:space="preserve">This is the split where the panel’s ranking inverts (§3.1): the two correlation methods,</w:t>
      </w:r>
      <w:r>
        <w:t xml:space="preserve"> </w:t>
      </w:r>
      <w:r>
        <w:t xml:space="preserve">weakest almost everywhere else, sit among the leaders, and actinn-jax is tenth of eleven.</w:t>
      </w:r>
      <w:r>
        <w:t xml:space="preserve"> </w:t>
      </w:r>
      <w:r>
        <w:t xml:space="preserve">Mean pairwise Spearman is 0.61 and the median best-minus-worst gap is 0.32, rising to 0.88.</w:t>
      </w:r>
      <w:r>
        <w:t xml:space="preserve"> </w:t>
      </w:r>
      <w:r>
        <w:t xml:space="preserve">The disagreement is concentrated in the graded families —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— where</w:t>
      </w:r>
      <w:r>
        <w:t xml:space="preserve"> </w:t>
      </w:r>
      <w:r>
        <w:t xml:space="preserve">neighbouring clusters differ by degree rather than by marker, and not in the rare classes:</w:t>
      </w:r>
      <w:r>
        <w:t xml:space="preserve"> </w:t>
      </w:r>
      <w:r>
        <w:t xml:space="preserve">capping at 100 cells per cluster leaves 130 of the 151 classes tied at 25 test cells.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eight benchmark splits over seven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 Brain is labelled with Allen’s</w:t>
      </w:r>
      <w:r>
        <w:t xml:space="preserve"> </w:t>
      </w:r>
      <w:r>
        <w:rPr>
          <w:rStyle w:val="VerbatimChar"/>
        </w:rPr>
        <w:t xml:space="preserve">Subclass</w:t>
      </w:r>
      <w:r>
        <w:t xml:space="preserve"> </w:t>
      </w:r>
      <w:r>
        <w:t xml:space="preserve">rather than with Cell</w:t>
      </w:r>
      <w:r>
        <w:t xml:space="preserve"> </w:t>
      </w:r>
      <w:r>
        <w:t xml:space="preserve">Ontology terms, which collapse its 24 subclasses to 18 (§2.3), so it carries no ontology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bookmarkStart w:id="35" w:name="cost-and-scaling"/>
    <w:p>
      <w:pPr>
        <w:pStyle w:val="Heading1"/>
      </w:pPr>
      <w:r>
        <w:t xml:space="preserve">Cost and scaling</w:t>
      </w:r>
    </w:p>
    <w:p>
      <w:pPr>
        <w:pStyle w:val="FirstParagraph"/>
      </w:pPr>
      <w:r>
        <w:t xml:space="preserve">These studies establish the cost claims the main text summarizes in one paragraph each. They</w:t>
      </w:r>
      <w:r>
        <w:t xml:space="preserve"> </w:t>
      </w:r>
      <w:r>
        <w:t xml:space="preserve">are here rather than in the main text because the workflow argument depends on inference being</w:t>
      </w:r>
      <w:r>
        <w:t xml:space="preserve"> </w:t>
      </w:r>
      <w:r>
        <w:t xml:space="preserve">cheap, not on the shape of the curve that makes it cheap.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" title="" id="2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 — a prototype VAE moves from worst</w:t>
      </w:r>
      <w:r>
        <w:t xml:space="preserve"> </w:t>
      </w:r>
      <w:r>
        <w:t xml:space="preserve">to best as the reference grows.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 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 the reference (1,035 to 16,398 cells</w:t>
      </w:r>
      <w:r>
        <w:t xml:space="preserve"> </w:t>
      </w:r>
      <w:r>
        <w:t xml:space="preserve">on lung), so they narrow from left to right; each point is a single run, so they cover sampling</w:t>
      </w:r>
      <w:r>
        <w:t xml:space="preserve"> </w:t>
      </w:r>
      <w:r>
        <w:t xml:space="preserve">of the query and not run-to-run variation.</w:t>
      </w:r>
    </w:p>
    <w:p>
      <w:pPr>
        <w:pStyle w:val="BodyText"/>
      </w:pPr>
      <w:r>
        <w:drawing>
          <wp:inline>
            <wp:extent cx="5334000" cy="3539981"/>
            <wp:effectExtent b="0" l="0" r="0" t="0"/>
            <wp:docPr descr="fit and predict scaling" title="" id="3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9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on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cardinality is the axis that separates them,</w:t>
      </w:r>
      <w:r>
        <w:t xml:space="preserve"> </w:t>
      </w:r>
      <w:r>
        <w:t xml:space="preserve">where actinn-jax rises 3.2× from 5 to 86 types against the tuned linear pipeline’s 11.9×. SVM</w:t>
      </w:r>
      <w:r>
        <w:t xml:space="preserve"> </w:t>
      </w:r>
      <w:r>
        <w:t xml:space="preserve">and kNN predict faster than either throughout. scTOP’s smallest-reference point carries</w:t>
      </w:r>
      <w:r>
        <w:t xml:space="preserve"> </w:t>
      </w:r>
      <w:r>
        <w:t xml:space="preserve">one-time import cost and is not a scaling effect.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" title="" id="3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S8.</w:t>
      </w:r>
      <w:r>
        <w:t xml:space="preserve"> </w:t>
      </w:r>
      <w:r>
        <w:t xml:space="preserve">Cost against query size with the reference fixed at 17,753 cells.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</w:t>
      </w:r>
      <w:r>
        <w:t xml:space="preserve"> </w:t>
      </w:r>
      <w:r>
        <w:t xml:space="preserve">flat for 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</w:t>
      </w:r>
      <w:r>
        <w:t xml:space="preserve"> </w:t>
      </w:r>
      <w:r>
        <w:t xml:space="preserve">which does not distinguish them — on this axis it measures holding the query, not running the</w:t>
      </w:r>
      <w:r>
        <w:t xml:space="preserve"> </w:t>
      </w:r>
      <w:r>
        <w:t xml:space="preserve">method. Three 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</w:t>
      </w:r>
      <w:r>
        <w:t xml:space="preserve"> </w:t>
      </w:r>
      <w:r>
        <w:t xml:space="preserve">contention can 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</w:t>
      </w:r>
      <w:r>
        <w:t xml:space="preserve"> </w:t>
      </w:r>
      <w:r>
        <w:t xml:space="preserve">run the OS has partly evicted.</w:t>
      </w:r>
    </w:p>
    <w:bookmarkEnd w:id="35"/>
    <w:bookmarkStart w:id="42" w:name="abstention"/>
    <w:p>
      <w:pPr>
        <w:pStyle w:val="Heading1"/>
      </w:pPr>
      <w:r>
        <w:t xml:space="preserve">Abstention</w:t>
      </w:r>
    </w:p>
    <w:p>
      <w:pPr>
        <w:pStyle w:val="FirstParagraph"/>
      </w:pPr>
      <w:r>
        <w:drawing>
          <wp:inline>
            <wp:extent cx="5334000" cy="2684806"/>
            <wp:effectExtent b="0" l="0" r="0" t="0"/>
            <wp:docPr descr="what a threshold does to each method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S9.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axis. The</w:t>
      </w:r>
      <w:r>
        <w:t xml:space="preserve"> </w:t>
      </w:r>
      <w:r>
        <w:t xml:space="preserve">five that work share a shape — accuracy and novelty rising as coverage falls — and the three</w:t>
      </w:r>
      <w:r>
        <w:t xml:space="preserve"> </w:t>
      </w:r>
      <w:r>
        <w:t xml:space="preserve">that do not each fail visibly and differently.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S10.</w:t>
      </w:r>
      <w:r>
        <w:t xml:space="preserve"> </w:t>
      </w:r>
      <w:r>
        <w:t xml:space="preserve">The same sweep read as a trade-off, which is what compares methods to each other</w:t>
      </w:r>
      <w:r>
        <w:t xml:space="preserve"> </w:t>
      </w:r>
      <w:r>
        <w:t xml:space="preserve">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 five</w:t>
      </w:r>
      <w:r>
        <w:t xml:space="preserve"> </w:t>
      </w:r>
      <w:r>
        <w:t xml:space="preserve">usable methods lie along one band, which is the basis for calling their abstain quality 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</w:t>
      </w:r>
    </w:p>
    <w:bookmarkEnd w:id="42"/>
    <w:bookmarkStart w:id="46" w:name="per-split-accuracy-and-cost"/>
    <w:p>
      <w:pPr>
        <w:pStyle w:val="Heading1"/>
      </w:pPr>
      <w:r>
        <w:t xml:space="preserve">Per-split accuracy and cost</w:t>
      </w:r>
    </w:p>
    <w:p>
      <w:pPr>
        <w:pStyle w:val="FirstParagraph"/>
      </w:pPr>
      <w:r>
        <w:drawing>
          <wp:inline>
            <wp:extent cx="5334000" cy="2723902"/>
            <wp:effectExtent b="0" l="0" r="0" t="0"/>
            <wp:docPr descr="accuracy against cost on every split" title="" id="4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face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S11.</w:t>
      </w:r>
      <w:r>
        <w:t xml:space="preserve"> </w:t>
      </w:r>
      <w:r>
        <w:t xml:space="preserve">The data behind Figure 1 without the gap-to-leader normalization: accuracy</w:t>
      </w:r>
      <w:r>
        <w:t xml:space="preserve"> </w:t>
      </w:r>
      <w:r>
        <w:t xml:space="preserve">against fit + predict time on each of the eight splits, error bars the range over three</w:t>
      </w:r>
      <w:r>
        <w:t xml:space="preserve"> </w:t>
      </w:r>
      <w:r>
        <w:t xml:space="preserve">repeats on both axes. Axis limits are per panel, so vertical position compares methods within</w:t>
      </w:r>
      <w:r>
        <w:t xml:space="preserve"> </w:t>
      </w:r>
      <w:r>
        <w:t xml:space="preserve">a split and not across them — the splits differ by more than half an accuracy point end to</w:t>
      </w:r>
      <w:r>
        <w:t xml:space="preserve"> </w:t>
      </w:r>
      <w:r>
        <w:t xml:space="preserve">end (pbmc 0.87–0.94, cross-dataset lung 0.33–0.38†), which is why Figure 1 normalizes. Most</w:t>
      </w:r>
      <w:r>
        <w:t xml:space="preserve"> </w:t>
      </w:r>
      <w:r>
        <w:t xml:space="preserve">error bars are invisible because most methods are deterministic given a fixed split; the ones</w:t>
      </w:r>
      <w:r>
        <w:t xml:space="preserve"> </w:t>
      </w:r>
      <w:r>
        <w:t xml:space="preserve">that show are scANVI and scArches, whose repeats differ by up to 0.056 and 0.020.</w:t>
      </w:r>
      <w:r>
        <w:t xml:space="preserve"> </w:t>
      </w:r>
      <w:r>
        <w:t xml:space="preserve">† cross-dataset lung exact-match accuracy is a label-vocabulary artefact (§3.1).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2026-08-18T03:06:02Z</dcterms:created>
  <dcterms:modified xsi:type="dcterms:W3CDTF">2026-08-18T03:06:02Z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