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spanning classical, regularized-linear, parameter-free, correlation, deep-probabilistic, prototype-VAE and foundation-model families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 0.008 — while their inference cost differs by two orders of magnitude and their peak memory by 2.4×. No method leads everywhere: the accuracy ordering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w:t>
      </w:r>
      <w:r>
        <w:t xml:space="preserve"> </w:t>
      </w:r>
      <w:r>
        <w:rPr>
          <w:b/>
          <w:bCs/>
        </w:rPr>
        <w:t xml:space="preserve">Pan-human Azimuth</w:t>
      </w:r>
      <w:r>
        <w:t xml:space="preserve">, a concurrent purpose-built pan-human annotator, can be distilled into such a reference from raw counts alone — no GPU, no labeled input — matching the teacher’s concordance at 6–9× its throughput. We release the reimplementation (actinn-jax),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The leading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is somebody else’s benchmark.</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toolchains.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for eleven methods on three</w:t>
      </w:r>
      <w:r>
        <w:t xml:space="preserve"> </w:t>
      </w:r>
      <w:r>
        <w:t xml:space="preserve">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31"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Accuracy is the mean over the five shared-vocabulary</w:t>
      </w:r>
      <w:r>
        <w:t xml:space="preserve"> </w:t>
      </w:r>
      <w:r>
        <w:t xml:space="preserve">datasets, macro-F1 over all six, and ontology concordance over the four that carry Cell</w:t>
      </w:r>
      <w:r>
        <w:t xml:space="preserve"> </w:t>
      </w:r>
      <w:r>
        <w:t xml:space="preserve">Ontology ids; bold marks the best value in 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20"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(Figure 1A). The HLiCA liver atlas reproduces the reversal independently</w:t>
      </w:r>
      <w:r>
        <w:t xml:space="preserve"> </w:t>
      </w:r>
      <w:r>
        <w:t xml:space="preserve">(Figure 1B), and peak memory stays within a bounded band rather than widening (Figure 1C).</w:t>
      </w:r>
      <w:r>
        <w:t xml:space="preserve"> </w:t>
      </w:r>
      <w:r>
        <w:t xml:space="preserve">Conclusions from subsampled references do not transfer to atlas scale in either direction.</w:t>
      </w:r>
    </w:p>
    <w:p>
      <w:pPr>
        <w:pStyle w:val="BodyText"/>
      </w:pPr>
      <w:r>
        <w:drawing>
          <wp:inline>
            <wp:extent cx="5334000" cy="1702553"/>
            <wp:effectExtent b="0" l="0" r="0" t="0"/>
            <wp:docPr descr="accuracy and memory against reference size" title="" id="18" name="Picture"/>
            <a:graphic>
              <a:graphicData uri="http://schemas.openxmlformats.org/drawingml/2006/picture">
                <pic:pic>
                  <pic:nvPicPr>
                    <pic:cNvPr descr="/Users/iandriver/Downloads/actinn-jax-benchmark/docs/figures/fig_atlas_scaling.png" id="19" name="Picture"/>
                    <pic:cNvPicPr>
                      <a:picLocks noChangeArrowheads="1" noChangeAspect="1"/>
                    </pic:cNvPicPr>
                  </pic:nvPicPr>
                  <pic:blipFill>
                    <a:blip r:embed="rId17"/>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and peak memory against reference size, four methods carried to atlas</w:t>
      </w:r>
      <w:r>
        <w:t xml:space="preserve"> </w:t>
      </w:r>
      <w:r>
        <w:t xml:space="preserve">scale.</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 an independent</w:t>
      </w:r>
      <w:r>
        <w:t xml:space="preserve"> </w:t>
      </w:r>
      <w:r>
        <w:t xml:space="preserve">replication.</w:t>
      </w:r>
      <w:r>
        <w:t xml:space="preserve"> </w:t>
      </w:r>
      <w:r>
        <w:rPr>
          <w:i/>
          <w:iCs/>
        </w:rPr>
        <w:t xml:space="preserve">C:</w:t>
      </w:r>
      <w:r>
        <w:t xml:space="preserve"> </w:t>
      </w:r>
      <w:r>
        <w:t xml:space="preserve">peak memory over both sweeps.</w:t>
      </w:r>
    </w:p>
    <w:p>
      <w:pPr>
        <w:pStyle w:val="BodyText"/>
      </w:pPr>
      <w:r>
        <w:t xml:space="preserve">External validation inverts a different axis. On Open Problems — datasets, metrics and ranking</w:t>
      </w:r>
      <w:r>
        <w:t xml:space="preserve"> </w:t>
      </w:r>
      <w:r>
        <w:t xml:space="preserve">not ours — all eleven methods were run in a single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whereas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and one weak</w:t>
      </w:r>
      <w:r>
        <w:t xml:space="preserve"> </w:t>
      </w:r>
      <w:r>
        <w:t xml:space="preserve">result inside three ordinary ones, traced to the fixed feature budget.</w:t>
      </w:r>
    </w:p>
    <w:bookmarkEnd w:id="20"/>
    <w:bookmarkStart w:id="24" w:name="inference-cost-is-flat-in-reference-size"/>
    <w:p>
      <w:pPr>
        <w:pStyle w:val="Heading2"/>
      </w:pPr>
      <w:r>
        <w:t xml:space="preserve">Inference cost is flat in reference size</w:t>
      </w:r>
    </w:p>
    <w:p>
      <w:pPr>
        <w:pStyle w:val="FirstParagraph"/>
      </w:pPr>
      <w:r>
        <w:t xml:space="preserve">Fit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2).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r>
        <w:t xml:space="preserve"> </w:t>
      </w:r>
      <w:r>
        <w:t xml:space="preserve">(Figure 1C).</w:t>
      </w:r>
    </w:p>
    <w:p>
      <w:pPr>
        <w:pStyle w:val="BodyText"/>
      </w:pPr>
      <w:r>
        <w:drawing>
          <wp:inline>
            <wp:extent cx="5334000" cy="1970216"/>
            <wp:effectExtent b="0" l="0" r="0" t="0"/>
            <wp:docPr descr="scaling" title="" id="22" name="Picture"/>
            <a:graphic>
              <a:graphicData uri="http://schemas.openxmlformats.org/drawingml/2006/picture">
                <pic:pic>
                  <pic:nvPicPr>
                    <pic:cNvPr descr="/Users/iandriver/Downloads/actinn-jax-benchmark/docs/figures/fig_scaling.png" id="23" name="Picture"/>
                    <pic:cNvPicPr>
                      <a:picLocks noChangeArrowheads="1" noChangeAspect="1"/>
                    </pic:cNvPicPr>
                  </pic:nvPicPr>
                  <pic:blipFill>
                    <a:blip r:embed="rId21"/>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prediction time against reference size and label cardinality. Fit time</w:t>
      </w:r>
      <w:r>
        <w:t xml:space="preserve"> </w:t>
      </w:r>
      <w:r>
        <w:t xml:space="preserve">grows for every trained method; prediction stays flat and sub-second across the whole range.</w:t>
      </w:r>
    </w:p>
    <w:bookmarkEnd w:id="24"/>
    <w:bookmarkStart w:id="28"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3).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6" name="Picture"/>
            <a:graphic>
              <a:graphicData uri="http://schemas.openxmlformats.org/drawingml/2006/picture">
                <pic:pic>
                  <pic:nvPicPr>
                    <pic:cNvPr descr="/Users/iandriver/Downloads/actinn-jax-benchmark/docs/figures/fig_workflow_umap_ondata.png" id="27" name="Picture"/>
                    <pic:cNvPicPr>
                      <a:picLocks noChangeArrowheads="1" noChangeAspect="1"/>
                    </pic:cNvPicPr>
                  </pic:nvPicPr>
                  <pic:blipFill>
                    <a:blip r:embed="rId25"/>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8"/>
    <w:bookmarkStart w:id="29"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w:t>
      </w:r>
    </w:p>
    <w:p>
      <w:pPr>
        <w:pStyle w:val="BodyText"/>
      </w:pPr>
      <w:r>
        <w:t xml:space="preserve">The GPU can be removed from the other route as well. Deriving the coarse hierarchy from Cell</w:t>
      </w:r>
      <w:r>
        <w:t xml:space="preserve"> </w:t>
      </w:r>
      <w:r>
        <w:t xml:space="preserve">Ontology lineage rather than from a foundation-model embedding beats both no hierarchy at all</w:t>
      </w:r>
      <w:r>
        <w:t xml:space="preserve"> </w:t>
      </w:r>
      <w:r>
        <w:t xml:space="preserve">(0.616 vs 0.547) and a same-sized random grouping (0.539), so it is the lineage structure and</w:t>
      </w:r>
      <w:r>
        <w:t xml:space="preserve"> </w:t>
      </w:r>
      <w:r>
        <w:t xml:space="preserve">not the mere act of splitting that helps. Being species-independent, that route also reaches a</w:t>
      </w:r>
      <w:r>
        <w:t xml:space="preserve"> </w:t>
      </w:r>
      <w:r>
        <w:t xml:space="preserve">second organism: a pan-mouse reference of 453 types across 85 tissues reaches 0.638 ontology</w:t>
      </w:r>
      <w:r>
        <w:t xml:space="preserve"> </w:t>
      </w:r>
      <w:r>
        <w:t xml:space="preserve">concordance on two withheld datasets after 17 s of CPU.</w:t>
      </w:r>
    </w:p>
    <w:bookmarkEnd w:id="29"/>
    <w:bookmarkStart w:id="30"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CellTypist’s probabilities are saturated, so it</w:t>
      </w:r>
      <w:r>
        <w:t xml:space="preserve"> </w:t>
      </w:r>
      <w:r>
        <w:t xml:space="preserve">offers essentially one operating point instead of a curve. Separately,</w:t>
      </w:r>
      <w:r>
        <w:t xml:space="preserve"> </w:t>
      </w:r>
      <w:r>
        <w:t xml:space="preserve">a foundation model run zero-shot scored</w:t>
      </w:r>
      <w:r>
        <w:t xml:space="preserve"> </w:t>
      </w:r>
      <w:r>
        <w:rPr>
          <w:b/>
          <w:bCs/>
        </w:rPr>
        <w:t xml:space="preserve">0.201</w:t>
      </w:r>
      <w:r>
        <w:t xml:space="preserve"> </w:t>
      </w:r>
      <w:r>
        <w:t xml:space="preserve">ontology concordance against 0.917 for a</w:t>
      </w:r>
      <w:r>
        <w:t xml:space="preserve"> </w:t>
      </w:r>
      <w:r>
        <w:t xml:space="preserve">reference-trained model on the same cells, taking ~280× longer — reproduced independently on</w:t>
      </w:r>
      <w:r>
        <w:t xml:space="preserve"> </w:t>
      </w:r>
      <w:r>
        <w:t xml:space="preserve">Open Problems, where zero-shot entries sit at the bottom of the leaderboard.</w:t>
      </w:r>
    </w:p>
    <w:bookmarkEnd w:id="30"/>
    <w:bookmarkEnd w:id="31"/>
    <w:bookmarkStart w:id="32"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ProtoCloud provides uncertainty, attribution and a</w:t>
      </w:r>
      <w:r>
        <w:t xml:space="preserve"> </w:t>
      </w:r>
      <w:r>
        <w:t xml:space="preserve">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32"/>
    <w:bookmarkStart w:id="55"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3">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4">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5">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6">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7">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8">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9">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40">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41">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42">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3">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5">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6">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7">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8">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9">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50">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51">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52">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3">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4">
        <w:r>
          <w:rPr>
            <w:rStyle w:val="Hyperlink"/>
          </w:rPr>
          <w:t xml:space="preserve">xkcd.com/927</w:t>
        </w:r>
      </w:hyperlink>
      <w: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benchmark of cost, scaling and workflow</dc:title>
  <dc:creator>Ian Driver</dc:creator>
  <cp:keywords/>
  <dcterms:created xsi:type="dcterms:W3CDTF">2026-08-10T19:29:24Z</dcterms:created>
  <dcterms:modified xsi:type="dcterms:W3CDTF">2026-08-10T19:29:24Z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spanning classical, regularized-linear, parameter-free, correlation, deep-probabilistic, prototype-VAE and foundation-model families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the accuracy ordering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 Pan-human Azimuth, a concurrent purpose-built pan-human annotator, can be distilled into such a reference from raw counts alone — no GPU, no labeled input — matching the teacher’s concordance at 6–9× its throughput. We release the reimplementation (actinn-jax), the harness, and the pre-trained references.</vt:lpwstr>
  </property>
  <property fmtid="{D5CDD505-2E9C-101B-9397-08002B2CF9AE}" pid="3" name="date">
    <vt:lpwstr/>
  </property>
</Properties>
</file>