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w:t>
      </w:r>
      <w:r>
        <w:t xml:space="preserve"> </w:t>
      </w:r>
      <w:r>
        <w:rPr>
          <w:b/>
          <w:bCs/>
        </w:rPr>
        <w:t xml:space="preserve">six</w:t>
      </w:r>
      <w:r>
        <w:t xml:space="preserve"> </w:t>
      </w:r>
      <w:r>
        <w:t xml:space="preserve">datasets (within-dataset, cross-dataset and cross-study; 8 to 86 cell types), measuring accuracy, macro-F1, ontology-aware concordance, fit and predict time, and peak memory on commodity Apple-Silicon hardware. Because a ranking measured on a subsampled reference need not hold at full size, we repeat the comparison across reference sizes on two atlases, from 3k cells up to atlas scale.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~260× in predict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We then use actinn-jax to demonstrate</w:t>
      </w:r>
      <w:r>
        <w:t xml:space="preserve"> </w:t>
      </w:r>
      <w:r>
        <w:rPr>
          <w:b/>
          <w:bCs/>
        </w:rPr>
        <w:t xml:space="preserve">end-to-end workflows that a low, flat cost profile makes practical</w:t>
      </w:r>
      <w:r>
        <w:t xml:space="preserve"> </w:t>
      </w:r>
      <w:r>
        <w:t xml:space="preserve">— on human data, and on mouse via a hierarchy derived from the Cell Ontology that removes the GPU step from building a reference. The workflows are: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broad→focused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 a</w:t>
      </w:r>
      <w:r>
        <w:t xml:space="preserve"> </w:t>
      </w:r>
      <w:r>
        <w:t xml:space="preserve">working scientist would accept it.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nothing from scale on lung (0.819 → 0.846) and loses ground on liver</w:t>
      </w:r>
      <w:r>
        <w:t xml:space="preserve"> </w:t>
      </w:r>
      <w:r>
        <w:t xml:space="preserve">(0.657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Fit time is not plotted: the 47k liver point was measured under CPU contention, so a</w:t>
      </w:r>
      <w:r>
        <w:t xml:space="preserve"> </w:t>
      </w:r>
      <w:r>
        <w:t xml:space="preserve">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388824"/>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38882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w:t>
      </w:r>
      <w:r>
        <w:t xml:space="preserve"> </w:t>
      </w:r>
      <w:r>
        <w:t xml:space="preserve">and against a random grouping with the same group sizes, scored by ontology concordance on the</w:t>
      </w:r>
      <w:r>
        <w:t xml:space="preserve"> </w:t>
      </w:r>
      <w:r>
        <w:t xml:space="preserve">held-out human lung atlas.</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a random grouping with the</w:t>
      </w:r>
      <w:r>
        <w:t xml:space="preserve"> </w:t>
      </w:r>
      <w:r>
        <w:t xml:space="preserve">same group sizes scores</w:t>
      </w:r>
      <w:r>
        <w:t xml:space="preserve"> </w:t>
      </w:r>
      <w:r>
        <w:rPr>
          <w:b/>
          <w:bCs/>
        </w:rPr>
        <w:t xml:space="preserve">0.539</w:t>
      </w:r>
      <w:r>
        <w:t xml:space="preserve"> </w:t>
      </w:r>
      <w:r>
        <w:t xml:space="preserve">— no better than the</w:t>
      </w:r>
      <w:r>
        <w:t xml:space="preserve"> </w:t>
      </w:r>
      <w:r>
        <w:rPr>
          <w:b/>
          <w:bCs/>
        </w:rPr>
        <w:t xml:space="preserve">0.547</w:t>
      </w:r>
      <w:r>
        <w:t xml:space="preserve"> </w:t>
      </w:r>
      <w:r>
        <w:t xml:space="preserve">of no hierarchy at all —</w:t>
      </w:r>
      <w:r>
        <w:t xml:space="preserve"> </w:t>
      </w:r>
      <w:r>
        <w:t xml:space="preserve">while the ontology grouping reaches</w:t>
      </w:r>
      <w:r>
        <w:t xml:space="preserve"> </w:t>
      </w:r>
      <w:r>
        <w:rPr>
          <w:b/>
          <w:bCs/>
        </w:rPr>
        <w:t xml:space="preserve">0.616</w:t>
      </w:r>
      <w:r>
        <w:t xml:space="preserve"> </w:t>
      </w:r>
      <w:r>
        <w:t xml:space="preserve">(Figure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p>
      <w:pPr>
        <w:pStyle w:val="BodyText"/>
      </w:pP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89"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4">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5">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6">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7">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8">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89"/>
    <w:bookmarkStart w:id="90"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2026-08-10T19:29:21Z</dcterms:created>
  <dcterms:modified xsi:type="dcterms:W3CDTF">2026-08-10T19:29:21Z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 six datasets (within-dataset, cross-dataset and cross-study; 8 to 86 cell types), measuring accuracy, macro-F1, ontology-aware concordance, fit and predict time, and peak memory on commodity Apple-Silicon hardware. Because a ranking measured on a subsampled reference need not hold at full size, we repeat the comparison across reference sizes on two atlases, from 3k cells up to atlas scale.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~260× in predict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We then use actinn-jax to demonstrate end-to-end workflows that a low, flat cost profile makes practical — on human data, and on mouse via a hierarchy derived from the Cell Ontology that removes the GPU step from building a reference. The workflows are: annotating an unknown human dataset from a shipped census-scale reference (~800 cell types, calibrated abstain) with no training; tissue-aware refinement that halves spurious cross-tissue labels on a liver query; a broad→focused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