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Override PartName="/word/media/rId58.png" ContentType="image/png"/>
  <Override PartName="/word/media/rId50.png" ContentType="image/png"/>
  <Override PartName="/word/media/rId62.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7"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292"/>
        <w:gridCol w:w="1042"/>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pinned environment it was run in</w:t>
      </w:r>
      <w:r>
        <w:t xml:space="preserve"> </w:t>
      </w:r>
      <w:r>
        <w:t xml:space="preserve">(§2.7).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26">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7"/>
    <w:bookmarkStart w:id="33"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8">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9">
              <w:r>
                <w:rPr>
                  <w:rStyle w:val="Hyperlink"/>
                </w:rPr>
                <w:t xml:space="preserve">Sikkema 2023</w:t>
              </w:r>
            </w:hyperlink>
            <w:r>
              <w:t xml:space="preserve"> </w:t>
            </w:r>
            <w:r>
              <w:t xml:space="preserve">→</w:t>
            </w:r>
            <w:r>
              <w:t xml:space="preserve"> </w:t>
            </w:r>
            <w:hyperlink r:id="rId28">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30">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30">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1">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2">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3"/>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The runner,</w:t>
      </w:r>
      <w:r>
        <w:t xml:space="preserve"> </w:t>
      </w:r>
      <w:r>
        <w:rPr>
          <w:rStyle w:val="VerbatimChar"/>
        </w:rPr>
        <w:t xml:space="preserve">benchmark/runner.py</w:t>
      </w:r>
      <w:r>
        <w:t xml:space="preserve">, executes each method in</w:t>
      </w:r>
      <w:r>
        <w:t xml:space="preserve"> </w:t>
      </w:r>
      <w:r>
        <w:rPr>
          <w:b/>
          <w:bCs/>
        </w:rPr>
        <w:t xml:space="preserve">its own virtual environment</w:t>
      </w:r>
      <w:r>
        <w:rPr>
          <w:b/>
          <w:bCs/>
        </w:rPr>
        <w:t xml:space="preserve"> </w:t>
      </w:r>
      <w:r>
        <w:rPr>
          <w:b/>
          <w:bCs/>
        </w:rPr>
        <w:t xml:space="preserve">under subprocess isolation</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w:t>
      </w:r>
      <w:r>
        <w:t xml:space="preserve">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w:t>
      </w:r>
      <w:r>
        <w:t xml:space="preserve">from a fixed seed and hands the identical pair to every method, so</w:t>
      </w:r>
      <w:r>
        <w:t xml:space="preserve"> </w:t>
      </w:r>
      <w:r>
        <w:t xml:space="preserve">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hyperlink r:id="rId36">
        <w:r>
          <w:rPr>
            <w:rStyle w:val="Hyperlink"/>
          </w:rPr>
          <w:t xml:space="preserve">CZI Census 2025</w:t>
        </w:r>
      </w:hyperlink>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9" w:name="results"/>
    <w:p>
      <w:pPr>
        <w:pStyle w:val="Heading1"/>
      </w:pPr>
      <w:r>
        <w:t xml:space="preserve">Results</w:t>
      </w:r>
    </w:p>
    <w:bookmarkStart w:id="53"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drawing>
          <wp:inline>
            <wp:extent cx="5334000" cy="1639186"/>
            <wp:effectExtent b="0" l="0" r="0" t="0"/>
            <wp:docPr descr="speed and memory" title="" id="51" name="Picture"/>
            <a:graphic>
              <a:graphicData uri="http://schemas.openxmlformats.org/drawingml/2006/picture">
                <pic:pic>
                  <pic:nvPicPr>
                    <pic:cNvPr descr="/Users/iandriver/Downloads/actinn-jax-benchmark/docs/figures/fig_speed_memory.png" id="52" name="Picture"/>
                    <pic:cNvPicPr>
                      <a:picLocks noChangeArrowheads="1" noChangeAspect="1"/>
                    </pic:cNvPicPr>
                  </pic:nvPicPr>
                  <pic:blipFill>
                    <a:blip r:embed="rId50"/>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time, per-query predict time, and peak memory by method, averaged across the</w:t>
      </w:r>
      <w:r>
        <w:t xml:space="preserve"> </w:t>
      </w:r>
      <w:r>
        <w:t xml:space="preserve">in-house panel. The methods sit within a few points of each other on accuracy (Table 3) and</w:t>
      </w:r>
      <w:r>
        <w:t xml:space="preserve"> </w:t>
      </w:r>
      <w:r>
        <w:t xml:space="preserve">orders of magnitude apart on cost.</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3"/>
    <w:bookmarkStart w:id="57" w:name="the-accuracy-speed-frontier"/>
    <w:p>
      <w:pPr>
        <w:pStyle w:val="Heading2"/>
      </w:pPr>
      <w:r>
        <w:t xml:space="preserve">The accuracy × speed frontier</w:t>
      </w:r>
    </w:p>
    <w:p>
      <w:pPr>
        <w:pStyle w:val="FirstParagraph"/>
      </w:pPr>
      <w:r>
        <w:drawing>
          <wp:inline>
            <wp:extent cx="5334000" cy="3671222"/>
            <wp:effectExtent b="0" l="0" r="0" t="0"/>
            <wp:docPr descr="Pareto" title="" id="55" name="Picture"/>
            <a:graphic>
              <a:graphicData uri="http://schemas.openxmlformats.org/drawingml/2006/picture">
                <pic:pic>
                  <pic:nvPicPr>
                    <pic:cNvPr descr="/Users/iandriver/Downloads/actinn-jax-benchmark/docs/figures/fig_pareto_liver_intra.png" id="56" name="Picture"/>
                    <pic:cNvPicPr>
                      <a:picLocks noChangeArrowheads="1" noChangeAspect="1"/>
                    </pic:cNvPicPr>
                  </pic:nvPicPr>
                  <pic:blipFill>
                    <a:blip r:embed="rId54"/>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4.</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7"/>
    <w:bookmarkStart w:id="61" w:name="scaling"/>
    <w:p>
      <w:pPr>
        <w:pStyle w:val="Heading2"/>
      </w:pPr>
      <w:r>
        <w:t xml:space="preserve">Scaling</w:t>
      </w:r>
    </w:p>
    <w:p>
      <w:pPr>
        <w:pStyle w:val="FirstParagraph"/>
      </w:pPr>
      <w:r>
        <w:drawing>
          <wp:inline>
            <wp:extent cx="5334000" cy="1970216"/>
            <wp:effectExtent b="0" l="0" r="0" t="0"/>
            <wp:docPr descr="scaling" title="" id="59" name="Picture"/>
            <a:graphic>
              <a:graphicData uri="http://schemas.openxmlformats.org/drawingml/2006/picture">
                <pic:pic>
                  <pic:nvPicPr>
                    <pic:cNvPr descr="/Users/iandriver/Downloads/actinn-jax-benchmark/docs/figures/fig_scaling.png" id="60" name="Picture"/>
                    <pic:cNvPicPr>
                      <a:picLocks noChangeArrowheads="1" noChangeAspect="1"/>
                    </pic:cNvPicPr>
                  </pic:nvPicPr>
                  <pic:blipFill>
                    <a:blip r:embed="rId5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61"/>
    <w:bookmarkStart w:id="66"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png" id="64" name="Picture"/>
                    <pic:cNvPicPr>
                      <a:picLocks noChangeArrowheads="1" noChangeAspect="1"/>
                    </pic:cNvPicPr>
                  </pic:nvPicPr>
                  <pic:blipFill>
                    <a:blip r:embed="rId62"/>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65">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rPr>
          <w:b/>
          <w:bCs/>
        </w:rPr>
        <w:t xml:space="preserve">Table 7.</w:t>
      </w:r>
      <w:r>
        <w:t xml:space="preserve"> </w:t>
      </w:r>
      <w:r>
        <w:t xml:space="preserve">Coarse-hierarchy ablation. Ontology concordance on the held-out lung atlas for a</w:t>
      </w:r>
      <w:r>
        <w:t xml:space="preserve"> </w:t>
      </w:r>
      <w:r>
        <w:t xml:space="preserve">Cell Ontology lineage hierarchy, a random grouping with the same group sizes, and no hierarchy</w:t>
      </w:r>
      <w:r>
        <w:t xml:space="preserve"> </w:t>
      </w:r>
      <w:r>
        <w:t xml:space="preserve">at all.</w:t>
      </w:r>
    </w:p>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6"/>
    <w:bookmarkStart w:id="67"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7"/>
    <w:bookmarkStart w:id="68"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8"/>
    <w:bookmarkStart w:id="78"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9">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0">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71">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Table 10,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3" name="Picture"/>
            <a:graphic>
              <a:graphicData uri="http://schemas.openxmlformats.org/drawingml/2006/picture">
                <pic:pic>
                  <pic:nvPicPr>
                    <pic:cNvPr descr="/Users/iandriver/Downloads/actinn-jax-benchmark/docs/figures/gene_budget_curve.png" id="74" name="Picture"/>
                    <pic:cNvPicPr>
                      <a:picLocks noChangeArrowheads="1" noChangeAspect="1"/>
                    </pic:cNvPicPr>
                  </pic:nvPicPr>
                  <pic:blipFill>
                    <a:blip r:embed="rId72"/>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6" name="Picture"/>
            <a:graphic>
              <a:graphicData uri="http://schemas.openxmlformats.org/drawingml/2006/picture">
                <pic:pic>
                  <pic:nvPicPr>
                    <pic:cNvPr descr="/Users/iandriver/Downloads/actinn-jax-benchmark/docs/figures/gene_budget_signals.png" id="77" name="Picture"/>
                    <pic:cNvPicPr>
                      <a:picLocks noChangeArrowheads="1" noChangeAspect="1"/>
                    </pic:cNvPicPr>
                  </pic:nvPicPr>
                  <pic:blipFill>
                    <a:blip r:embed="rId75"/>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8"/>
    <w:bookmarkEnd w:id="79"/>
    <w:bookmarkStart w:id="81"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0">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1"/>
    <w:bookmarkStart w:id="82"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2"/>
    <w:bookmarkStart w:id="88"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83">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4">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5">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w:t>
      </w:r>
      <w:r>
        <w:t xml:space="preserve"> </w:t>
      </w:r>
      <w:hyperlink r:id="rId30">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6">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7">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88"/>
    <w:bookmarkStart w:id="89"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2">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1">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0">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w:t>
      </w:r>
      <w:r>
        <w:t xml:space="preserve"> </w:t>
      </w:r>
      <w:hyperlink r:id="rId30">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9">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0">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8">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6"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8" Target="https://doi.org/10.1038/s41586-020-2922-4" TargetMode="External" /><Relationship Type="http://schemas.openxmlformats.org/officeDocument/2006/relationships/hyperlink" Id="rId31"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9"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0"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7" Target="https://doi.org/10.5281/zenodo.20401417" TargetMode="External" /><Relationship Type="http://schemas.openxmlformats.org/officeDocument/2006/relationships/hyperlink" Id="rId85" Target="https://doi.org/10.5281/zenodo.21688150" TargetMode="External" /><Relationship Type="http://schemas.openxmlformats.org/officeDocument/2006/relationships/hyperlink" Id="rId84" Target="https://doi.org/10.5281/zenodo.21688151" TargetMode="External" /><Relationship Type="http://schemas.openxmlformats.org/officeDocument/2006/relationships/hyperlink" Id="rId80" Target="https://doi.org/10.64898/2026.02.11.705358" TargetMode="External" /><Relationship Type="http://schemas.openxmlformats.org/officeDocument/2006/relationships/hyperlink" Id="rId30"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3" Target="https://github.com/iandriver/actinn-jax" TargetMode="External" /><Relationship Type="http://schemas.openxmlformats.org/officeDocument/2006/relationships/hyperlink" Id="rId26" Target="https://github.com/iandriver/actinn-jax-benchmark/blob/main/benchmark/adapters/panhuman_adapter.py" TargetMode="External" /><Relationship Type="http://schemas.openxmlformats.org/officeDocument/2006/relationships/hyperlink" Id="rId65" Target="https://github.com/iandriver/actinn-jax-benchmark/blob/main/docs/results_hierarchy_ablation.csv" TargetMode="External" /><Relationship Type="http://schemas.openxmlformats.org/officeDocument/2006/relationships/hyperlink" Id="rId71" Target="https://github.com/iandriver/actinn-jax-benchmark/blob/main/docs/results_openproblems_samehw_v2.csv"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9" Target="https://openproblems.bio/benchmarks/label_projection" TargetMode="External" /><Relationship Type="http://schemas.openxmlformats.org/officeDocument/2006/relationships/hyperlink" Id="rId32"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2026-08-03T20:14:07Z</dcterms:created>
  <dcterms:modified xsi:type="dcterms:W3CDTF">2026-08-03T20:14:07Z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