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2.png" ContentType="image/png"/>
  <Override PartName="/word/media/rId56.png" ContentType="image/png"/>
  <Override PartName="/word/media/rId64.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13-method benchmark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thirteen</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training and inference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four-way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and actinn-jax (0.831) alongside it.</w:t>
      </w:r>
      <w:r>
        <w:t xml:space="preserve"> </w:t>
      </w:r>
      <w:r>
        <w:rPr>
          <w:b/>
          <w:bCs/>
        </w:rPr>
        <w:t xml:space="preserve">Those same four methods differ by ~130× in inference time</w:t>
      </w:r>
      <w:r>
        <w:t xml:space="preserve"> </w:t>
      </w:r>
      <w:r>
        <w:t xml:space="preserve">(0.34 s to 89 s)</w:t>
      </w:r>
      <w:r>
        <w:t xml:space="preserve"> </w:t>
      </w:r>
      <w:r>
        <w:rPr>
          <w:b/>
          <w:bCs/>
        </w:rPr>
        <w:t xml:space="preserve">and 2.4× in peak memory</w:t>
      </w:r>
      <w:r>
        <w:t xml:space="preserve"> </w:t>
      </w:r>
      <w:r>
        <w:t xml:space="preserve">(1.8 to 4.3 GB). The linear pipeline is the most accurate-per-second option on laptop-sized data, fitting 7× faster than actinn-jax (3.0 vs. 21.9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w:t>
      </w:r>
      <w:r>
        <w:t xml:space="preserve"> </w:t>
      </w:r>
      <w:r>
        <w:rPr>
          <w:b/>
          <w:bCs/>
        </w:rPr>
        <w:t xml:space="preserve">Open Problems (OP)</w:t>
      </w:r>
      <w:r>
        <w:t xml:space="preserve"> </w:t>
      </w:r>
      <w:r>
        <w:rPr>
          <w:rStyle w:val="VerbatimChar"/>
        </w:rPr>
        <w:t xml:space="preserve">label_projection</w:t>
      </w:r>
      <w:r>
        <w:t xml:space="preserve">, whose datasets, metrics and ranking we did not choose. We report the results as a decision aid (accuracy-per-second, accuracy-per-byte, and behaviour from 3k to 49k reference cells), then use actinn-jax to demonstrate</w:t>
      </w:r>
      <w:r>
        <w:t xml:space="preserve"> </w:t>
      </w:r>
      <w:r>
        <w:rPr>
          <w:b/>
          <w:bCs/>
        </w:rPr>
        <w:t xml:space="preserve">end-to-end workflows that a low, flat cost profile makes practical</w:t>
      </w:r>
      <w:r>
        <w:t xml:space="preserve">, on human data and — via a hierarchy derived from the Cell Ontology, which removes the GPU step from building a reference — on mouse: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broad→refined hand-off</w:t>
      </w:r>
      <w:r>
        <w:t xml:space="preserve"> </w:t>
      </w:r>
      <w:r>
        <w:t xml:space="preserve">to a small focused reference (held-out cross-study liver 0.23/0.58 → 0.72/0.86, exact-match / Cell-Ontology-aware);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pass than ours, and one we can</w:t>
      </w:r>
      <w:r>
        <w:t xml:space="preserve"> </w:t>
      </w:r>
      <w:r>
        <w:rPr>
          <w:b/>
          <w:bCs/>
        </w:rPr>
        <w:t xml:space="preserve">distill into a broad-pass model of comparable accuracy at ~9×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12"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 (survey),</w:t>
      </w:r>
      <w:r>
        <w:t xml:space="preserve"> </w:t>
      </w:r>
      <w:r>
        <w:t xml:space="preserve">but published comparisons (</w:t>
      </w:r>
      <w:hyperlink r:id="rId9">
        <w:r>
          <w:rPr>
            <w:rStyle w:val="Hyperlink"/>
          </w:rPr>
          <w:t xml:space="preserve">Abdelaal 2019</w:t>
        </w:r>
      </w:hyperlink>
      <w:r>
        <w:t xml:space="preserve">,</w:t>
      </w:r>
      <w:r>
        <w:t xml:space="preserve"> </w:t>
      </w:r>
      <w:hyperlink r:id="rId10">
        <w:r>
          <w:rPr>
            <w:rStyle w:val="Hyperlink"/>
          </w:rPr>
          <w:t xml:space="preserve">Fu 2024</w:t>
        </w:r>
      </w:hyperlink>
      <w:r>
        <w:t xml:space="preserve">)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Several</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favourable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unfavourable direction (§5). Metrics are</w:t>
      </w:r>
      <w:r>
        <w:t xml:space="preserve"> </w:t>
      </w:r>
      <w:r>
        <w:t xml:space="preserve">fixed across all methods and reported in full. And the</w:t>
      </w:r>
      <w:r>
        <w:t xml:space="preserve"> </w:t>
      </w:r>
      <w:r>
        <w:rPr>
          <w:b/>
          <w:bCs/>
        </w:rPr>
        <w:t xml:space="preserve">external validation is somebody</w:t>
      </w:r>
      <w:r>
        <w:rPr>
          <w:b/>
          <w:bCs/>
        </w:rPr>
        <w:t xml:space="preserve"> </w:t>
      </w:r>
      <w:r>
        <w:rPr>
          <w:b/>
          <w:bCs/>
        </w:rPr>
        <w:t xml:space="preserve">else’s</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memory</w:t>
      </w:r>
      <w:r>
        <w:t xml:space="preserve"> </w:t>
      </w:r>
      <w:r>
        <w:t xml:space="preserve">advantage that stays a fixed factor instead of growing with the data, a better-resourced broad</w:t>
      </w:r>
      <w:r>
        <w:t xml:space="preserve"> </w:t>
      </w:r>
      <w:r>
        <w:t xml:space="preserve">annotator than our own — they are reported in those terms.</w:t>
      </w:r>
    </w:p>
    <w:p>
      <w:pPr>
        <w:pStyle w:val="BodyText"/>
      </w:pPr>
      <w:r>
        <w:rPr>
          <w:b/>
          <w:bCs/>
        </w:rPr>
        <w:t xml:space="preserve">On adding another method to a crowded field.</w:t>
      </w:r>
      <w:r>
        <w:t xml:space="preserve"> </w:t>
      </w:r>
      <w:r>
        <w:t xml:space="preserve">We are adding one, and we think it earns</w:t>
      </w:r>
      <w:r>
        <w:t xml:space="preserve"> </w:t>
      </w:r>
      <w:r>
        <w:t xml:space="preserve">its place: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§3.4 practical on a laptop. What we are</w:t>
      </w:r>
      <w:r>
        <w:t xml:space="preserve"> </w:t>
      </w:r>
      <w:r>
        <w:rPr>
          <w:i/>
          <w:iCs/>
        </w:rPr>
        <w:t xml:space="preserve">not</w:t>
      </w:r>
      <w:r>
        <w:t xml:space="preserve"> </w:t>
      </w:r>
      <w:r>
        <w:t xml:space="preserve">doing is the</w:t>
      </w:r>
      <w:r>
        <w:t xml:space="preserve"> </w:t>
      </w:r>
      <w:r>
        <w:t xml:space="preserve">move that makes method papers hard to trust — concluding that the new method wins. It does</w:t>
      </w:r>
      <w:r>
        <w:t xml:space="preserve"> </w:t>
      </w:r>
      <w:r>
        <w:t xml:space="preserve">not: on accuracy it sits inside a four-way cluster it does not lead, the panel was assembled</w:t>
      </w:r>
      <w:r>
        <w:t xml:space="preserve"> </w:t>
      </w:r>
      <w:r>
        <w:t xml:space="preserve">to include the baselines most likely to beat it, and they do. A field already full of working</w:t>
      </w:r>
      <w:r>
        <w:t xml:space="preserve"> </w:t>
      </w:r>
      <w:r>
        <w:t xml:space="preserve">methods (</w:t>
      </w:r>
      <w:hyperlink r:id="rId11">
        <w:r>
          <w:rPr>
            <w:rStyle w:val="Hyperlink"/>
          </w:rPr>
          <w:t xml:space="preserve">xkcd 927</w:t>
        </w:r>
      </w:hyperlink>
      <w:r>
        <w:t xml:space="preserve">)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broad→refined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pass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 which beats the embedding-derived hierarchy on the human</w:t>
      </w:r>
      <w:r>
        <w:t xml:space="preserve"> </w:t>
      </w:r>
      <w:r>
        <w:t xml:space="preserve">corpus it was validated against, and 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12"/>
    <w:bookmarkStart w:id="46" w:name="methods"/>
    <w:p>
      <w:pPr>
        <w:pStyle w:val="Heading1"/>
      </w:pPr>
      <w:r>
        <w:t xml:space="preserve">Methods</w:t>
      </w:r>
    </w:p>
    <w:bookmarkStart w:id="15" w:name="actinn-jax"/>
    <w:p>
      <w:pPr>
        <w:pStyle w:val="Heading2"/>
      </w:pPr>
      <w:r>
        <w:t xml:space="preserve">actinn-jax</w:t>
      </w:r>
    </w:p>
    <w:p>
      <w:pPr>
        <w:pStyle w:val="FirstParagraph"/>
      </w:pPr>
      <w:r>
        <w:t xml:space="preserve">actinn-jax reimplements ACTINN (</w:t>
      </w:r>
      <w:hyperlink r:id="rId13">
        <w:r>
          <w:rPr>
            <w:rStyle w:val="Hyperlink"/>
          </w:rPr>
          <w:t xml:space="preserve">Ma &amp; Pellegrini 2020</w:t>
        </w:r>
      </w:hyperlink>
      <w:r>
        <w:t xml:space="preserve">) — a 4-layer fully-connected</w:t>
      </w:r>
      <w:r>
        <w:t xml:space="preserve"> </w:t>
      </w:r>
      <w:r>
        <w:t xml:space="preserve">network (100/50/25 hidden units, ReLU, softmax) trained with Adam — in JAX/optax</w:t>
      </w:r>
      <w:r>
        <w:t xml:space="preserve"> </w:t>
      </w:r>
      <w:r>
        <w:t xml:space="preserve">(</w:t>
      </w:r>
      <w:hyperlink r:id="rId14">
        <w:r>
          <w:rPr>
            <w:rStyle w:val="Hyperlink"/>
          </w:rPr>
          <w:t xml:space="preserve">Bradbury 2018</w:t>
        </w:r>
      </w:hyperlink>
      <w:r>
        <w:t xml:space="preserve">),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the count matrix is never densified in full. CP10k+log2</w:t>
      </w:r>
      <w:r>
        <w:t xml:space="preserve"> </w:t>
      </w:r>
      <w:r>
        <w:t xml:space="preserve">normalization and the expression / coefficient-of-variation gene filter run on the sparse</w:t>
      </w:r>
      <w:r>
        <w:t xml:space="preserve"> </w:t>
      </w:r>
      <w:r>
        <w:t xml:space="preserve">matrix; only the selected-gene columns of each minibatch are made dense.</w:t>
      </w:r>
    </w:p>
    <w:p>
      <w:pPr>
        <w:pStyle w:val="Compact"/>
        <w:numPr>
          <w:ilvl w:val="0"/>
          <w:numId w:val="1002"/>
        </w:numPr>
      </w:pPr>
      <w:r>
        <w:rPr>
          <w:b/>
          <w:bCs/>
        </w:rPr>
        <w:t xml:space="preserve">Cached reference model</w:t>
      </w:r>
      <w:r>
        <w:t xml:space="preserve">: train once, write the fitted model to disk, reload it and map</w:t>
      </w:r>
      <w:r>
        <w:t xml:space="preserve"> </w:t>
      </w:r>
      <w:r>
        <w:t xml:space="preserve">many queries — the amortized cost of repeated annotation against a fixed reference drops</w:t>
      </w:r>
      <w:r>
        <w:t xml:space="preserve"> </w:t>
      </w:r>
      <w:r>
        <w:t xml:space="preserve">to the inference cost alone.</w:t>
      </w:r>
    </w:p>
    <w:p>
      <w:pPr>
        <w:pStyle w:val="Compact"/>
        <w:numPr>
          <w:ilvl w:val="0"/>
          <w:numId w:val="1002"/>
        </w:numPr>
      </w:pPr>
      <w:r>
        <w:rPr>
          <w:b/>
          <w:bCs/>
        </w:rPr>
        <w:t xml:space="preserve">Chunked prediction</w:t>
      </w:r>
      <w:r>
        <w:t xml:space="preserve"> </w:t>
      </w:r>
      <w:r>
        <w:t xml:space="preserve">for atlas-scale queries, and raw counts are picked up automatically</w:t>
      </w:r>
      <w:r>
        <w:t xml:space="preserve"> </w:t>
      </w:r>
      <w:r>
        <w:t xml:space="preserve">from the slot CELLxGENE files conventionally store them in.</w:t>
      </w:r>
    </w:p>
    <w:p>
      <w:pPr>
        <w:pStyle w:val="Compact"/>
        <w:numPr>
          <w:ilvl w:val="0"/>
          <w:numId w:val="1002"/>
        </w:numPr>
      </w:pPr>
      <w:r>
        <w:rPr>
          <w:b/>
          <w:bCs/>
        </w:rPr>
        <w:t xml:space="preserve">Optional reference-fit standardization</w:t>
      </w:r>
      <w:r>
        <w:t xml:space="preserve">: z-score each selected gene by the reference’s</w:t>
      </w:r>
      <w:r>
        <w:t xml:space="preserve"> </w:t>
      </w:r>
      <w:r>
        <w:t xml:space="preserve">frozen mean and standard deviation and apply that to the query — a cheap domain alignment</w:t>
      </w:r>
      <w:r>
        <w:t xml:space="preserve"> </w:t>
      </w:r>
      <w:r>
        <w:t xml:space="preserve">(§3.7). Off by default; when on, the scaler is saved alongside the model and travels with</w:t>
      </w:r>
      <w:r>
        <w:t xml:space="preserve"> </w:t>
      </w:r>
      <w:r>
        <w:t xml:space="preserve">it, and models saved without it still load.</w:t>
      </w:r>
    </w:p>
    <w:p>
      <w:pPr>
        <w:pStyle w:val="FirstParagraph"/>
      </w:pPr>
      <w:r>
        <w:t xml:space="preserve">The reimplementation reproduces the original’s accuracy to within repeat noise while being</w:t>
      </w:r>
      <w:r>
        <w:t xml:space="preserve"> </w:t>
      </w:r>
      <w:r>
        <w:rPr>
          <w:b/>
          <w:bCs/>
        </w:rPr>
        <w:t xml:space="preserve">substantially faster and lighter and, unlike the TensorFlow-1.x original, installable on</w:t>
      </w:r>
      <w:r>
        <w:rPr>
          <w:b/>
          <w:bCs/>
        </w:rPr>
        <w:t xml:space="preserve"> </w:t>
      </w:r>
      <w:r>
        <w:rPr>
          <w:b/>
          <w:bCs/>
        </w:rPr>
        <w:t xml:space="preserve">current Python/ML environments</w:t>
      </w:r>
      <w:r>
        <w:t xml:space="preserve"> </w:t>
      </w:r>
      <w:r>
        <w:t xml:space="preserve">— the original’s 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5"/>
    <w:bookmarkStart w:id="26"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146"/>
        <w:gridCol w:w="1250"/>
        <w:gridCol w:w="1146"/>
        <w:gridCol w:w="2084"/>
        <w:gridCol w:w="1042"/>
        <w:gridCol w:w="1250"/>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runtime</w:t>
            </w:r>
          </w:p>
        </w:tc>
      </w:tr>
      <w:tr>
        <w:tc>
          <w:tcPr/>
          <w:p>
            <w:pPr>
              <w:pStyle w:val="Compact"/>
            </w:pPr>
            <w:r>
              <w:rPr>
                <w:b/>
                <w:bCs/>
              </w:rPr>
              <w:t xml:space="preserve">actinn-jax</w:t>
            </w:r>
          </w:p>
        </w:tc>
        <w:tc>
          <w:tcPr/>
          <w:p>
            <w:pPr>
              <w:pStyle w:val="Compact"/>
            </w:pPr>
            <w:hyperlink r:id="rId13">
              <w:r>
                <w:rPr>
                  <w:rStyle w:val="Hyperlink"/>
                </w:rPr>
                <w:t xml:space="preserve">Ma &amp; Pellegrini 2020</w:t>
              </w:r>
            </w:hyperlink>
          </w:p>
        </w:tc>
        <w:tc>
          <w:tcPr/>
          <w:p>
            <w:pPr>
              <w:pStyle w:val="Compact"/>
            </w:pPr>
            <w:r>
              <w:t xml:space="preserve">classical</w:t>
            </w:r>
          </w:p>
        </w:tc>
        <w:tc>
          <w:tcPr/>
          <w:p>
            <w:pPr>
              <w:pStyle w:val="Compact"/>
            </w:pPr>
            <w:r>
              <w:t xml:space="preserve">JAX MLP</w:t>
            </w:r>
          </w:p>
        </w:tc>
        <w:tc>
          <w:tcPr/>
          <w:p>
            <w:pPr>
              <w:pStyle w:val="Compact"/>
            </w:pPr>
            <w:r>
              <w:t xml:space="preserve">confidence threshold</w:t>
            </w:r>
          </w:p>
        </w:tc>
        <w:tc>
          <w:tcPr/>
          <w:p>
            <w:pPr>
              <w:pStyle w:val="Compact"/>
            </w:pPr>
            <w:r>
              <w:t xml:space="preserve">JAX</w:t>
            </w:r>
          </w:p>
        </w:tc>
      </w:tr>
      <w:tr>
        <w:tc>
          <w:tcPr/>
          <w:p>
            <w:pPr>
              <w:pStyle w:val="Compact"/>
            </w:pPr>
            <w:r>
              <w:t xml:space="preserve">SVM</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scikit-learn</w:t>
            </w:r>
          </w:p>
        </w:tc>
      </w:tr>
      <w:tr>
        <w:tc>
          <w:tcPr/>
          <w:p>
            <w:pPr>
              <w:pStyle w:val="Compact"/>
            </w:pPr>
            <w:r>
              <w:t xml:space="preserve">kNN</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scikit-learn</w:t>
            </w:r>
          </w:p>
        </w:tc>
      </w:tr>
      <w:tr>
        <w:tc>
          <w:tcPr/>
          <w:p>
            <w:pPr>
              <w:pStyle w:val="Compact"/>
            </w:pPr>
            <w:r>
              <w:t xml:space="preserve">CellTypist</w:t>
            </w:r>
          </w:p>
        </w:tc>
        <w:tc>
          <w:tcPr/>
          <w:p>
            <w:pPr>
              <w:pStyle w:val="Compact"/>
            </w:pPr>
            <w:hyperlink r:id="rId17">
              <w:r>
                <w:rPr>
                  <w:rStyle w:val="Hyperlink"/>
                </w:rPr>
                <w:t xml:space="preserve">Domínguez Conde 2022</w:t>
              </w:r>
            </w:hyperlink>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scikit-learn</w:t>
            </w:r>
          </w:p>
        </w:tc>
      </w:tr>
      <w:tr>
        <w:tc>
          <w:tcPr/>
          <w:p>
            <w:pPr>
              <w:pStyle w:val="Compact"/>
            </w:pPr>
            <w:r>
              <w:rPr>
                <w:b/>
                <w:bCs/>
              </w:rPr>
              <w:t xml:space="preserve">linear-anova-pca</w:t>
            </w:r>
          </w:p>
        </w:tc>
        <w:tc>
          <w:tcPr/>
          <w:p>
            <w:pPr>
              <w:pStyle w:val="Compact"/>
            </w:pPr>
            <w:hyperlink r:id="rId16">
              <w:r>
                <w:rPr>
                  <w:rStyle w:val="Hyperlink"/>
                </w:rPr>
                <w:t xml:space="preserve">Pedregosa 2011</w:t>
              </w:r>
            </w:hyperlink>
            <w:r>
              <w:t xml:space="preserve"> </w:t>
            </w:r>
            <w:r>
              <w:t xml:space="preserve">†</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scikit-learn</w:t>
            </w:r>
          </w:p>
        </w:tc>
      </w:tr>
      <w:tr>
        <w:tc>
          <w:tcPr/>
          <w:p>
            <w:pPr>
              <w:pStyle w:val="Compact"/>
            </w:pPr>
            <w:r>
              <w:rPr>
                <w:b/>
                <w:bCs/>
              </w:rPr>
              <w:t xml:space="preserve">scTOP</w:t>
            </w:r>
          </w:p>
        </w:tc>
        <w:tc>
          <w:tcPr/>
          <w:p>
            <w:pPr>
              <w:pStyle w:val="Compact"/>
            </w:pPr>
            <w:hyperlink r:id="rId18">
              <w:r>
                <w:rPr>
                  <w:rStyle w:val="Hyperlink"/>
                </w:rPr>
                <w:t xml:space="preserve">Yampolskaya 2023</w:t>
              </w:r>
            </w:hyperlink>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NumPy</w:t>
            </w:r>
          </w:p>
        </w:tc>
      </w:tr>
      <w:tr>
        <w:tc>
          <w:tcPr/>
          <w:p>
            <w:pPr>
              <w:pStyle w:val="Compact"/>
            </w:pPr>
            <w:r>
              <w:t xml:space="preserve">SingleR</w:t>
            </w:r>
          </w:p>
        </w:tc>
        <w:tc>
          <w:tcPr/>
          <w:p>
            <w:pPr>
              <w:pStyle w:val="Compact"/>
            </w:pPr>
            <w:hyperlink r:id="rId19">
              <w:r>
                <w:rPr>
                  <w:rStyle w:val="Hyperlink"/>
                </w:rPr>
                <w:t xml:space="preserve">Aran 2019</w:t>
              </w:r>
            </w:hyperlink>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w:t>
            </w:r>
          </w:p>
        </w:tc>
      </w:tr>
      <w:tr>
        <w:tc>
          <w:tcPr/>
          <w:p>
            <w:pPr>
              <w:pStyle w:val="Compact"/>
            </w:pPr>
            <w:r>
              <w:t xml:space="preserve">scmap-cluster</w:t>
            </w:r>
          </w:p>
        </w:tc>
        <w:tc>
          <w:tcPr/>
          <w:p>
            <w:pPr>
              <w:pStyle w:val="Compact"/>
            </w:pPr>
            <w:hyperlink r:id="rId20">
              <w:r>
                <w:rPr>
                  <w:rStyle w:val="Hyperlink"/>
                </w:rPr>
                <w:t xml:space="preserve">Kiselev 2018</w:t>
              </w:r>
            </w:hyperlink>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w:t>
            </w:r>
          </w:p>
        </w:tc>
      </w:tr>
      <w:tr>
        <w:tc>
          <w:tcPr/>
          <w:p>
            <w:pPr>
              <w:pStyle w:val="Compact"/>
            </w:pPr>
            <w:r>
              <w:t xml:space="preserve">scANVI</w:t>
            </w:r>
          </w:p>
        </w:tc>
        <w:tc>
          <w:tcPr/>
          <w:p>
            <w:pPr>
              <w:pStyle w:val="Compact"/>
            </w:pPr>
            <w:hyperlink r:id="rId21">
              <w:r>
                <w:rPr>
                  <w:rStyle w:val="Hyperlink"/>
                </w:rPr>
                <w:t xml:space="preserve">Xu 2021</w:t>
              </w:r>
            </w:hyperlink>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w:t>
            </w:r>
          </w:p>
        </w:tc>
      </w:tr>
      <w:tr>
        <w:tc>
          <w:tcPr/>
          <w:p>
            <w:pPr>
              <w:pStyle w:val="Compact"/>
            </w:pPr>
            <w:r>
              <w:t xml:space="preserve">scArches</w:t>
            </w:r>
          </w:p>
        </w:tc>
        <w:tc>
          <w:tcPr/>
          <w:p>
            <w:pPr>
              <w:pStyle w:val="Compact"/>
            </w:pPr>
            <w:hyperlink r:id="rId22">
              <w:r>
                <w:rPr>
                  <w:rStyle w:val="Hyperlink"/>
                </w:rPr>
                <w:t xml:space="preserve">Lotfollahi 2022</w:t>
              </w:r>
            </w:hyperlink>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w:t>
            </w:r>
          </w:p>
        </w:tc>
      </w:tr>
      <w:tr>
        <w:tc>
          <w:tcPr/>
          <w:p>
            <w:pPr>
              <w:pStyle w:val="Compact"/>
            </w:pPr>
            <w:r>
              <w:rPr>
                <w:b/>
                <w:bCs/>
              </w:rPr>
              <w:t xml:space="preserve">ProtoCloud</w:t>
            </w:r>
          </w:p>
        </w:tc>
        <w:tc>
          <w:tcPr/>
          <w:p>
            <w:pPr>
              <w:pStyle w:val="Compact"/>
            </w:pPr>
            <w:hyperlink r:id="rId23">
              <w:r>
                <w:rPr>
                  <w:rStyle w:val="Hyperlink"/>
                </w:rPr>
                <w:t xml:space="preserve">Guo &amp; Ding 2026</w:t>
              </w:r>
            </w:hyperlink>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PyTorch</w:t>
            </w:r>
          </w:p>
        </w:tc>
      </w:tr>
      <w:tr>
        <w:tc>
          <w:tcPr/>
          <w:p>
            <w:pPr>
              <w:pStyle w:val="Compact"/>
            </w:pPr>
            <w:r>
              <w:t xml:space="preserve">scPRINT</w:t>
            </w:r>
          </w:p>
        </w:tc>
        <w:tc>
          <w:tcPr/>
          <w:p>
            <w:pPr>
              <w:pStyle w:val="Compact"/>
            </w:pPr>
            <w:hyperlink r:id="rId24">
              <w:r>
                <w:rPr>
                  <w:rStyle w:val="Hyperlink"/>
                </w:rPr>
                <w:t xml:space="preserve">Kalfon 2025</w:t>
              </w:r>
            </w:hyperlink>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PyTorch</w:t>
            </w:r>
          </w:p>
        </w:tc>
      </w:tr>
      <w:tr>
        <w:tc>
          <w:tcPr/>
          <w:p>
            <w:pPr>
              <w:pStyle w:val="Compact"/>
            </w:pPr>
            <w:r>
              <w:rPr>
                <w:b/>
                <w:bCs/>
              </w:rPr>
              <w:t xml:space="preserve">Pan-human Azimuth</w:t>
            </w:r>
          </w:p>
        </w:tc>
        <w:tc>
          <w:tcPr/>
          <w:p>
            <w:pPr>
              <w:pStyle w:val="Compact"/>
            </w:pPr>
            <w:hyperlink r:id="rId25">
              <w:r>
                <w:rPr>
                  <w:rStyle w:val="Hyperlink"/>
                </w:rPr>
                <w:t xml:space="preserve">Sarkar et al. 2026</w:t>
              </w:r>
            </w:hyperlink>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TensorFlow</w:t>
            </w:r>
          </w:p>
        </w:tc>
      </w:tr>
    </w:tbl>
    <w:p>
      <w:pPr>
        <w:pStyle w:val="BodyText"/>
      </w:pPr>
      <w:r>
        <w:rPr>
          <w:b/>
          <w:bCs/>
        </w:rPr>
        <w:t xml:space="preserve">Table 1.</w:t>
      </w:r>
      <w:r>
        <w:t xml:space="preserve"> </w:t>
      </w:r>
      <w:r>
        <w:t xml:space="preserve">The benchmarked methods: model family (</w:t>
      </w:r>
      <w:r>
        <w:rPr>
          <w:i/>
          <w:iCs/>
        </w:rPr>
        <w:t xml:space="preserve">tier</w:t>
      </w:r>
      <w:r>
        <w:t xml:space="preserve">), the engine each one actually runs,</w:t>
      </w:r>
      <w:r>
        <w:t xml:space="preserve"> </w:t>
      </w:r>
      <w:r>
        <w:t xml:space="preserve">whether it can decline to call a cell (</w:t>
      </w:r>
      <w:r>
        <w:rPr>
          <w:i/>
          <w:iCs/>
        </w:rPr>
        <w:t xml:space="preserve">rejection</w:t>
      </w:r>
      <w:r>
        <w:t xml:space="preserve">), and the runtime stack it was run on;</w:t>
      </w:r>
      <w:r>
        <w:t xml:space="preserve"> </w:t>
      </w:r>
      <w:r>
        <w:t xml:space="preserve">each has its own pinned environment (§2.5). Bold marks the methods added to this panel here.</w:t>
      </w:r>
    </w:p>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favourable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being the standard controlled vocabulary of cell types, used throughout as the common</w:t>
      </w:r>
      <w:r>
        <w:t xml:space="preserve"> </w:t>
      </w:r>
      <w:r>
        <w:t xml:space="preserve">ground between datasets that name the same cell differently; it cannot</w:t>
      </w:r>
      <w:r>
        <w:t xml:space="preserve"> </w:t>
      </w:r>
      <w:r>
        <w:t xml:space="preserve">emit labels outside that set and skips symbol-keyed datasets.</w:t>
      </w:r>
    </w:p>
    <w:p>
      <w:pPr>
        <w:pStyle w:val="Compact"/>
        <w:numPr>
          <w:ilvl w:val="0"/>
          <w:numId w:val="1003"/>
        </w:numPr>
      </w:pPr>
      <w:r>
        <w:rPr>
          <w:b/>
          <w:bCs/>
        </w:rPr>
        <w:t xml:space="preserve">Pan-human Azimuth</w:t>
      </w:r>
      <w:r>
        <w:t xml:space="preserve"> </w:t>
      </w:r>
      <w:r>
        <w:t xml:space="preserve">(</w:t>
      </w:r>
      <w:hyperlink r:id="rId25">
        <w:r>
          <w:rPr>
            <w:rStyle w:val="Hyperlink"/>
          </w:rPr>
          <w:t xml:space="preserve">Sarkar et al. 2026</w:t>
        </w:r>
      </w:hyperlink>
      <w:r>
        <w:t xml:space="preserve">)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26"/>
    <w:bookmarkStart w:id="32" w:name="datasets"/>
    <w:p>
      <w:pPr>
        <w:pStyle w:val="Heading2"/>
      </w:pPr>
      <w:r>
        <w:t xml:space="preserve">Datasets</w:t>
      </w:r>
    </w:p>
    <w:tbl>
      <w:tblPr>
        <w:tblStyle w:val="Table"/>
        <w:tblW w:type="pct" w:w="5000"/>
        <w:tblLayout w:type="fixed"/>
        <w:tblLook w:firstRow="1" w:lastRow="0" w:firstColumn="0" w:lastColumn="0" w:noHBand="0" w:noVBand="0" w:val="0020"/>
      </w:tblPr>
      <w:tblGrid>
        <w:gridCol w:w="1584"/>
        <w:gridCol w:w="1218"/>
        <w:gridCol w:w="852"/>
        <w:gridCol w:w="1340"/>
        <w:gridCol w:w="731"/>
        <w:gridCol w:w="852"/>
        <w:gridCol w:w="13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hyperlink r:id="rId27">
              <w:r>
                <w:rPr>
                  <w:rStyle w:val="Hyperlink"/>
                </w:rPr>
                <w:t xml:space="preserve">Travaglini 2020</w:t>
              </w:r>
            </w:hyperlink>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hyperlink r:id="rId28">
              <w:r>
                <w:rPr>
                  <w:rStyle w:val="Hyperlink"/>
                </w:rPr>
                <w:t xml:space="preserve">Sikkema 2023</w:t>
              </w:r>
            </w:hyperlink>
            <w:r>
              <w:t xml:space="preserve"> </w:t>
            </w:r>
            <w:r>
              <w:t xml:space="preserve">→</w:t>
            </w:r>
            <w:r>
              <w:t xml:space="preserve"> </w:t>
            </w:r>
            <w:hyperlink r:id="rId27">
              <w:r>
                <w:rPr>
                  <w:rStyle w:val="Hyperlink"/>
                </w:rPr>
                <w:t xml:space="preserve">Travaglini 2020</w:t>
              </w:r>
            </w:hyperlink>
          </w:p>
        </w:tc>
        <w:tc>
          <w:tcPr/>
          <w:p>
            <w:pPr>
              <w:pStyle w:val="Compact"/>
            </w:pPr>
            <w:r>
              <w:t xml:space="preserve">cross-dataset</w:t>
            </w:r>
          </w:p>
        </w:tc>
        <w:tc>
          <w:tcPr/>
          <w:p>
            <w:pPr>
              <w:pStyle w:val="Compact"/>
            </w:pPr>
            <w:r>
              <w:t xml:space="preserve">lung (HLCA → 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hyperlink r:id="rId29">
              <w:r>
                <w:rPr>
                  <w:rStyle w:val="Hyperlink"/>
                </w:rPr>
                <w:t xml:space="preserve">Edgar 2026</w:t>
              </w:r>
            </w:hyperlink>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hyperlink r:id="rId29">
              <w:r>
                <w:rPr>
                  <w:rStyle w:val="Hyperlink"/>
                </w:rPr>
                <w:t xml:space="preserve">Edgar 2026</w:t>
              </w:r>
            </w:hyperlink>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hyperlink r:id="rId30">
              <w:r>
                <w:rPr>
                  <w:rStyle w:val="Hyperlink"/>
                </w:rPr>
                <w:t xml:space="preserve">Alegbe 2026</w:t>
              </w:r>
            </w:hyperlink>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hyperlink r:id="rId31">
              <w:r>
                <w:rPr>
                  <w:rStyle w:val="Hyperlink"/>
                </w:rPr>
                <w:t xml:space="preserve">10x Genomics 2016</w:t>
              </w:r>
            </w:hyperlink>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rPr>
          <w:b/>
          <w:bCs/>
        </w:rPr>
        <w:t xml:space="preserve">Table 2.</w:t>
      </w:r>
      <w:r>
        <w:t xml:space="preserve"> </w:t>
      </w:r>
      <w:r>
        <w:t xml:space="preserve">The six benchmark datasets.</w:t>
      </w:r>
      <w:r>
        <w:t xml:space="preserve"> </w:t>
      </w:r>
      <w:r>
        <w:rPr>
          <w:i/>
          <w:iCs/>
        </w:rPr>
        <w:t xml:space="preserve">split</w:t>
      </w:r>
      <w:r>
        <w:t xml:space="preserve"> </w:t>
      </w:r>
      <w:r>
        <w:t xml:space="preserve">separates within-dataset holdouts from</w:t>
      </w:r>
      <w:r>
        <w:t xml:space="preserve"> </w:t>
      </w:r>
      <w:r>
        <w:t xml:space="preserve">cross-dataset and cross-study transfer;</w:t>
      </w:r>
      <w:r>
        <w:t xml:space="preserve"> </w:t>
      </w:r>
      <w:r>
        <w:rPr>
          <w:i/>
          <w:iCs/>
        </w:rPr>
        <w:t xml:space="preserve">genes</w:t>
      </w:r>
      <w:r>
        <w:t xml:space="preserve"> </w:t>
      </w:r>
      <w:r>
        <w:t xml:space="preserve">records whether the matrix is keyed by Ensembl</w:t>
      </w:r>
      <w:r>
        <w:t xml:space="preserve"> </w:t>
      </w:r>
      <w:r>
        <w:t xml:space="preserve">ids or by gene symbols, which decides who can read it.</w:t>
      </w:r>
    </w:p>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32"/>
    <w:bookmarkStart w:id="3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RSS</w:t>
      </w:r>
      <w:r>
        <w:t xml:space="preserve"> </w:t>
      </w:r>
      <w:r>
        <w:t xml:space="preserve">(resident set size — the maximum physical memory the process 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which exact match scores as a total failure</w:t>
      </w:r>
      <w:r>
        <w:t xml:space="preserve"> </w:t>
      </w:r>
      <w:r>
        <w:t xml:space="preserve">and a working scientist would accept.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 the</w:t>
      </w:r>
      <w:r>
        <w:t xml:space="preserve"> </w:t>
      </w:r>
      <w:r>
        <w:rPr>
          <w:b/>
          <w:bCs/>
        </w:rPr>
        <w:t xml:space="preserve">Cell Ontology basic release of 2026-06-08</w:t>
      </w:r>
      <w:r>
        <w:t xml:space="preserve"> </w:t>
      </w:r>
      <w:r>
        <w:t xml:space="preserve">(sha256 73996c63…),</w:t>
      </w:r>
      <w:r>
        <w:t xml:space="preserve"> </w:t>
      </w:r>
      <w:r>
        <w:t xml:space="preserve">resolved once and reused by every scoring pass. This is not a hypothetical concern:</w:t>
      </w:r>
      <w:r>
        <w:t xml:space="preserve"> </w:t>
      </w:r>
      <w:r>
        <w:t xml:space="preserve">re-running lung_cross against a later-fetched release reproduced the splits exactly (14,390</w:t>
      </w:r>
      <w:r>
        <w:t xml:space="preserve"> </w:t>
      </w:r>
      <w:r>
        <w:t xml:space="preserve">reference / 13,550 query cells) and still moved concordance by 0.003, with no model changing.</w:t>
      </w:r>
      <w:r>
        <w:t xml:space="preserve"> </w:t>
      </w:r>
      <w:r>
        <w:t xml:space="preserve">That release, its checksum, and pinned versions for all six benchmark environments are</w:t>
      </w:r>
      <w:r>
        <w:t xml:space="preserve"> </w:t>
      </w:r>
      <w:r>
        <w:t xml:space="preserve">recorded as lockfiles in the</w:t>
      </w:r>
      <w:r>
        <w:t xml:space="preserve"> </w:t>
      </w:r>
      <w:hyperlink r:id="rId33">
        <w:r>
          <w:rPr>
            <w:rStyle w:val="Hyperlink"/>
          </w:rPr>
          <w:t xml:space="preserve">benchmark repository</w:t>
        </w:r>
      </w:hyperlink>
      <w:r>
        <w:t xml:space="preserve">, which also carries a command that</w:t>
      </w:r>
      <w:r>
        <w:t xml:space="preserve"> </w:t>
      </w:r>
      <w:r>
        <w:t xml:space="preserve">reports any drift from them.</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 accuracy is</w:t>
      </w:r>
      <w:r>
        <w:t xml:space="preserve"> </w:t>
      </w:r>
      <w:r>
        <w:t xml:space="preserve">a vocabulary artifact and the ranking, not the level, is what transfers.</w:t>
      </w:r>
    </w:p>
    <w:bookmarkEnd w:id="34"/>
    <w:bookmarkStart w:id="3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as a separate process</w:t>
      </w:r>
      <w:r>
        <w:t xml:space="preserve">, because the</w:t>
      </w:r>
      <w:r>
        <w:t xml:space="preserve"> </w:t>
      </w:r>
      <w:r>
        <w:t xml:space="preserve">dependency sets are mutually unsatisfiable — scVI-based methods, TensorFlow/Keras (Pan-human</w:t>
      </w:r>
      <w:r>
        <w:t xml:space="preserve"> </w:t>
      </w:r>
      <w:r>
        <w:t xml:space="preserve">Azimuth), R (SingleR, scmap) and the JAX core cannot coexist in one interpreter. One driver</w:t>
      </w:r>
      <w:r>
        <w:t xml:space="preserve"> </w:t>
      </w:r>
      <w:r>
        <w:t xml:space="preserve">builds the reference/query split</w:t>
      </w:r>
      <w:r>
        <w:t xml:space="preserve"> </w:t>
      </w:r>
      <w:r>
        <w:rPr>
          <w:b/>
          <w:bCs/>
        </w:rPr>
        <w:t xml:space="preserve">once per dataset</w:t>
      </w:r>
      <w:r>
        <w:t xml:space="preserve"> </w:t>
      </w:r>
      <w:r>
        <w:t xml:space="preserve">from a fixed seed and hands the</w:t>
      </w:r>
      <w:r>
        <w:t xml:space="preserve"> </w:t>
      </w:r>
      <w:r>
        <w:t xml:space="preserve">identical pair to every method, 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RSS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matched</w:t>
      </w:r>
      <w:r>
        <w:t xml:space="preserve"> </w:t>
      </w:r>
      <w:r>
        <w:t xml:space="preserve">concurrency matters and is discussed (§2.10).</w:t>
      </w:r>
    </w:p>
    <w:bookmarkEnd w:id="35"/>
    <w:bookmarkStart w:id="37"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 in the</w:t>
      </w:r>
      <w:r>
        <w:t xml:space="preserve"> </w:t>
      </w:r>
      <w:hyperlink r:id="rId33">
        <w:r>
          <w:rPr>
            <w:rStyle w:val="Hyperlink"/>
          </w:rPr>
          <w:t xml:space="preserve">benchmark repository</w:t>
        </w:r>
      </w:hyperlink>
      <w:r>
        <w:t xml:space="preserve">).</w:t>
      </w:r>
    </w:p>
    <w:p>
      <w:pPr>
        <w:pStyle w:val="BodyText"/>
      </w:pPr>
      <w:r>
        <w:rPr>
          <w:b/>
          <w:bCs/>
        </w:rPr>
        <w:t xml:space="preserve">Sampling.</w:t>
      </w:r>
      <w:r>
        <w:t xml:space="preserve"> </w:t>
      </w:r>
      <w:r>
        <w:t xml:space="preserve">Every primary cell for one organism in the CELLxGENE Census</w:t>
      </w:r>
      <w:r>
        <w:t xml:space="preserve"> </w:t>
      </w:r>
      <w:hyperlink r:id="rId36">
        <w:r>
          <w:rPr>
            <w:rStyle w:val="Hyperlink"/>
          </w:rPr>
          <w:t xml:space="preserve">CZI Census 2025</w:t>
        </w:r>
      </w:hyperlink>
      <w:r>
        <w:t xml:space="preserve"> </w:t>
      </w:r>
      <w:r>
        <w:t xml:space="preserve">— primary meaning the copy the census designates canonical, so cells deposited in more than</w:t>
      </w:r>
      <w:r>
        <w:t xml:space="preserve"> </w:t>
      </w:r>
      <w:r>
        <w:t xml:space="preserve">one study are counted once — stratified by cell type at a fixed cap per type: 40 for</w:t>
      </w:r>
      <w:r>
        <w:t xml:space="preserve"> </w:t>
      </w:r>
      <w:r>
        <w:rPr>
          <w:rStyle w:val="VerbatimChar"/>
        </w:rPr>
        <w:t xml:space="preserve">broad_human_v1</w:t>
      </w:r>
      <w:r>
        <w:t xml:space="preserve">, 60 for the later human and mouse pulls. Types with fewer than 12 cells are</w:t>
      </w:r>
      <w:r>
        <w:t xml:space="preserve"> </w:t>
      </w:r>
      <w:r>
        <w:t xml:space="preserve">dropped, as are labels that carry no information (</w:t>
      </w:r>
      <w:r>
        <w:t xml:space="preserve">“unknown”</w:t>
      </w:r>
      <w:r>
        <w:t xml:space="preserve">,</w:t>
      </w:r>
      <w:r>
        <w:t xml:space="preserve"> </w:t>
      </w:r>
      <w:r>
        <w:t xml:space="preserve">“native cell”</w:t>
      </w:r>
      <w:r>
        <w:t xml:space="preserve">,</w:t>
      </w:r>
      <w:r>
        <w:t xml:space="preserve"> </w:t>
      </w:r>
      <w:r>
        <w:t xml:space="preserve">“eukaryotic</w:t>
      </w:r>
      <w:r>
        <w:t xml:space="preserve"> </w:t>
      </w:r>
      <w:r>
        <w:t xml:space="preserve">cell”</w:t>
      </w:r>
      <w:r>
        <w:t xml:space="preserve">,</w:t>
      </w:r>
      <w:r>
        <w:t xml:space="preserve"> </w:t>
      </w:r>
      <w:r>
        <w:t xml:space="preserve">“animal cell”</w:t>
      </w:r>
      <w:r>
        <w:t xml:space="preserve">). The pull is checkpointed every ten datasets and retried, since</w:t>
      </w:r>
      <w:r>
        <w:t xml:space="preserve"> </w:t>
      </w:r>
      <w:r>
        <w:t xml:space="preserve">transient object-store read errors are routine at this scale. Genes are carried under both</w:t>
      </w:r>
      <w:r>
        <w:t xml:space="preserve"> </w:t>
      </w:r>
      <w:r>
        <w:t xml:space="preserve">Ensembl ids and symbols, because a symbol-keyed consumer cannot use an Ensembl-only pull.</w:t>
      </w:r>
      <w:r>
        <w:t xml:space="preserve"> </w:t>
      </w:r>
      <w:r>
        <w:t xml:space="preserve">The census</w:t>
      </w:r>
      <w:r>
        <w:t xml:space="preserve"> </w:t>
      </w:r>
      <w:r>
        <w:t xml:space="preserve">“stable”</w:t>
      </w:r>
      <w:r>
        <w:t xml:space="preserve"> </w:t>
      </w:r>
      <w:r>
        <w:t xml:space="preserve">alias is a moving pointer, so the release it resolved to is recorded;</w:t>
      </w:r>
      <w:r>
        <w:t xml:space="preserve"> </w:t>
      </w:r>
      <w:r>
        <w:t xml:space="preserve">every reference here comes from</w:t>
      </w:r>
      <w:r>
        <w:t xml:space="preserve"> </w:t>
      </w:r>
      <w:r>
        <w:rPr>
          <w:b/>
          <w:bCs/>
        </w:rPr>
        <w:t xml:space="preserve">census 2025-11-08</w:t>
      </w:r>
      <w:r>
        <w:t xml:space="preserve">.</w:t>
      </w:r>
    </w:p>
    <w:p>
      <w:pPr>
        <w:pStyle w:val="BodyText"/>
      </w:pPr>
      <w:r>
        <w:rPr>
          <w:b/>
          <w:bCs/>
        </w:rPr>
        <w:t xml:space="preserve">Coarse hierarchy — two interchangeable routes.</w:t>
      </w:r>
      <w:r>
        <w:t xml:space="preserve"> </w:t>
      </w:r>
      <w:r>
        <w:t xml:space="preserve">The model is a coarse classifier over</w:t>
      </w:r>
      <w:r>
        <w:t xml:space="preserve"> </w:t>
      </w:r>
      <w:r>
        <w:t xml:space="preserve">groups plus one fine classifier per group, and the grouping comes from either:</w:t>
      </w:r>
    </w:p>
    <w:p>
      <w:pPr>
        <w:pStyle w:val="Compact"/>
        <w:numPr>
          <w:ilvl w:val="0"/>
          <w:numId w:val="1004"/>
        </w:numPr>
      </w:pPr>
      <w:r>
        <w:rPr>
          <w:b/>
          <w:bCs/>
        </w:rPr>
        <w:t xml:space="preserve">Foundation-model embeddings.</w:t>
      </w:r>
      <w:r>
        <w:t xml:space="preserve"> </w:t>
      </w:r>
      <w:r>
        <w:t xml:space="preserve">scPRINT (medium-v1.5) embeds the reference once in</w:t>
      </w:r>
      <w:r>
        <w:t xml:space="preserve"> </w:t>
      </w:r>
      <w:r>
        <w:t xml:space="preserve">4,000-cell chunks; per-cell-type centroids are Ward-clustered into roughly √(number of</w:t>
      </w:r>
      <w:r>
        <w:t xml:space="preserve"> </w:t>
      </w:r>
      <w:r>
        <w:t xml:space="preserve">types) groups, with a floor of eight.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compares the two routes against a</w:t>
      </w:r>
      <w:r>
        <w:t xml:space="preserve"> </w:t>
      </w:r>
      <w:r>
        <w:t xml:space="preserve">random-grouping control.</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t xml:space="preserve">the confidence threshold to trade coverage against accuracy on kept cells — the table each</w:t>
      </w:r>
      <w:r>
        <w:t xml:space="preserve"> </w:t>
      </w:r>
      <w:r>
        <w:t xml:space="preserve">shipped reference reports.</w:t>
      </w:r>
    </w:p>
    <w:p>
      <w:pPr>
        <w:pStyle w:val="BodyText"/>
      </w:pPr>
      <w:r>
        <w:rPr>
          <w:b/>
          <w:bCs/>
        </w:rPr>
        <w:t xml:space="preserve">Shipping and verification.</w:t>
      </w:r>
      <w:r>
        <w:t xml:space="preserve"> </w:t>
      </w:r>
      <w:r>
        <w:t xml:space="preserve">Each reference ships with a build record: census release,</w:t>
      </w:r>
      <w:r>
        <w:t xml:space="preserve"> </w:t>
      </w:r>
      <w:r>
        <w:t xml:space="preserve">corpus sizes, hierarchy route, organism and calibration table. Because a rebuild can train</w:t>
      </w:r>
      <w:r>
        <w:t xml:space="preserve"> </w:t>
      </w:r>
      <w:r>
        <w:t xml:space="preserve">cleanly and annotate</w:t>
      </w:r>
      <w:r>
        <w:t xml:space="preserve"> </w:t>
      </w:r>
      <w:r>
        <w:rPr>
          <w:i/>
          <w:iCs/>
        </w:rPr>
        <w:t xml:space="preserve">worse</w:t>
      </w:r>
      <w:r>
        <w:t xml:space="preserve">, the previous reference is backed up and the new one is scored</w:t>
      </w:r>
      <w:r>
        <w:t xml:space="preserve"> </w:t>
      </w:r>
      <w:r>
        <w:t xml:space="preserve">on a held-out atlas before it is kept. For</w:t>
      </w:r>
      <w:r>
        <w:t xml:space="preserve"> </w:t>
      </w:r>
      <w:r>
        <w:rPr>
          <w:rStyle w:val="VerbatimChar"/>
        </w:rPr>
        <w:t xml:space="preserve">broad_mouse_v1</w:t>
      </w:r>
      <w:r>
        <w:t xml:space="preserve"> </w:t>
      </w:r>
      <w:r>
        <w:t xml:space="preserve">the test set is carved from the</w:t>
      </w:r>
      <w:r>
        <w:t xml:space="preserve"> </w:t>
      </w:r>
      <w:r>
        <w:t xml:space="preserve">census itself: two datasets are excluded from the reference sample and re-pulled as the</w:t>
      </w:r>
      <w:r>
        <w:t xml:space="preserve"> </w:t>
      </w:r>
      <w:r>
        <w:t xml:space="preserve">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 not merely held-out cells.</w:t>
      </w:r>
    </w:p>
    <w:bookmarkEnd w:id="37"/>
    <w:bookmarkStart w:id="38"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 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Pan-human Azimuth labels a corpus of raw counts through its low-level API</w:t>
      </w:r>
      <w:r>
        <w:t xml:space="preserve"> </w:t>
      </w:r>
      <w:r>
        <w:t xml:space="preserve">in batches of 8,192, which loads the weights once rather than once per call. All eight levels</w:t>
      </w:r>
      <w:r>
        <w:t xml:space="preserve"> </w:t>
      </w:r>
      <w:r>
        <w:t xml:space="preserve">are retained. Where the package cannot reconcile a refined level with its coarser ones it</w:t>
      </w:r>
      <w:r>
        <w:t xml:space="preserve"> </w:t>
      </w:r>
      <w:r>
        <w:t xml:space="preserve">blanks that column;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The student is a hierarchical actinn-jax reference whose</w:t>
      </w:r>
      <w:r>
        <w:t xml:space="preserve"> </w:t>
      </w:r>
      <w:r>
        <w:rPr>
          <w:b/>
          <w:bCs/>
        </w:rPr>
        <w:t xml:space="preserve">classes</w:t>
      </w:r>
      <w:r>
        <w:t xml:space="preserve"> </w:t>
      </w:r>
      <w:r>
        <w:t xml:space="preserve">are</w:t>
      </w:r>
      <w:r>
        <w:t xml:space="preserve"> </w:t>
      </w:r>
      <w:r>
        <w:t xml:space="preserve">the teacher’s refined fine labels (including its trained</w:t>
      </w:r>
      <w:r>
        <w:t xml:space="preserve"> </w:t>
      </w:r>
      <w:r>
        <w:rPr>
          <w:rStyle w:val="VerbatimChar"/>
        </w:rPr>
        <w:t xml:space="preserve">Unassigned</w:t>
      </w:r>
      <w:r>
        <w:t xml:space="preserve"> </w:t>
      </w:r>
      <w:r>
        <w:t xml:space="preserve">quality-control class)</w:t>
      </w:r>
      <w:r>
        <w:t xml:space="preserve"> </w:t>
      </w:r>
      <w:r>
        <w:t xml:space="preserve">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Note</w:t>
      </w:r>
      <w:r>
        <w:t xml:space="preserve"> </w:t>
      </w:r>
      <w:r>
        <w:t xml:space="preserve">that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38"/>
    <w:bookmarkStart w:id="39"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b/>
          <w:bCs/>
        </w:rPr>
        <w:t xml:space="preserve">Confidence abstention.</w:t>
      </w:r>
      <w:r>
        <w:t xml:space="preserve"> </w:t>
      </w:r>
      <w:r>
        <w:t xml:space="preserve">Cells whose final probability is below a threshold are relabeled</w:t>
      </w:r>
      <w:r>
        <w:t xml:space="preserve"> </w:t>
      </w:r>
      <w:r>
        <w:t xml:space="preserve">“unknown”</w:t>
      </w:r>
      <w:r>
        <w:t xml:space="preserve"> </w:t>
      </w:r>
      <w:r>
        <w:t xml:space="preserve">rather than forced to the nearest class. Calibrated per reference (§2.6).</w:t>
      </w:r>
    </w:p>
    <w:p>
      <w:pPr>
        <w:pStyle w:val="Compact"/>
        <w:numPr>
          <w:ilvl w:val="0"/>
          <w:numId w:val="1005"/>
        </w:numPr>
      </w:pPr>
      <w:r>
        <w:rPr>
          <w:b/>
          <w:bCs/>
        </w:rPr>
        <w:t xml:space="preserve">Refinement to the query.</w:t>
      </w:r>
      <w:r>
        <w:t xml:space="preserve"> </w:t>
      </w:r>
      <w:r>
        <w:t xml:space="preserve">The reference’s class set is masked to those classes the</w:t>
      </w:r>
      <w:r>
        <w:t xml:space="preserve"> </w:t>
      </w:r>
      <w:r>
        <w:t xml:space="preserve">query’s own predictions actually support, and the softmax renormalized — no ground truth,</w:t>
      </w:r>
      <w:r>
        <w:t xml:space="preserve"> </w:t>
      </w:r>
      <w:r>
        <w:t xml:space="preserve">no retraining.</w:t>
      </w:r>
    </w:p>
    <w:p>
      <w:pPr>
        <w:pStyle w:val="Compact"/>
        <w:numPr>
          <w:ilvl w:val="0"/>
          <w:numId w:val="1005"/>
        </w:numPr>
      </w:pPr>
      <w:r>
        <w:rPr>
          <w:b/>
          <w:bCs/>
        </w:rPr>
        <w:t xml:space="preserve">Refinement to a tissue.</w:t>
      </w:r>
      <w:r>
        <w:t xml:space="preserve"> </w:t>
      </w:r>
      <w:r>
        <w:t xml:space="preserve">Classes are masked to those the census records in the given</w:t>
      </w:r>
      <w:r>
        <w:t xml:space="preserve"> </w:t>
      </w:r>
      <w:r>
        <w:t xml:space="preserve">tissue, while</w:t>
      </w:r>
      <w:r>
        <w:t xml:space="preserve"> </w:t>
      </w:r>
      <w:r>
        <w:rPr>
          <w:b/>
          <w:bCs/>
        </w:rPr>
        <w:t xml:space="preserve">pan-tissue</w:t>
      </w:r>
      <w:r>
        <w:t xml:space="preserve"> </w:t>
      </w:r>
      <w:r>
        <w:t xml:space="preserve">types (immune, endothelial, stromal) stay available</w:t>
      </w:r>
      <w:r>
        <w:t xml:space="preserve"> </w:t>
      </w:r>
      <w:r>
        <w:t xml:space="preserve">everywhere, so liver-resident T cells are unaffected. The per-class tissue map is baked</w:t>
      </w:r>
      <w:r>
        <w:t xml:space="preserve"> </w:t>
      </w:r>
      <w:r>
        <w:t xml:space="preserve">into the shipped reference; the tissue is given explicitly or read from the query’s own</w:t>
      </w:r>
      <w:r>
        <w:t xml:space="preserve"> </w:t>
      </w:r>
      <w:r>
        <w:t xml:space="preserve">metadata, with common synonyms (PBMC→blood, hepatic→liver) recognized. A tissue outside</w:t>
      </w:r>
      <w:r>
        <w:t xml:space="preserve"> </w:t>
      </w:r>
      <w:r>
        <w:t xml:space="preserve">the reference’s vocabulary 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w:t>
      </w:r>
      <w:r>
        <w:rPr>
          <w:i/>
          <w:iCs/>
        </w:rPr>
        <w:t xml:space="preserve"> </w:t>
      </w:r>
      <w:r>
        <w:rPr>
          <w:i/>
          <w:iCs/>
        </w:rPr>
        <w:t xml:space="preserve">explain</w:t>
      </w:r>
      <w:r>
        <w:t xml:space="preserve">. Clusters that are both large enough to be a real population and predominantly</w:t>
      </w:r>
      <w:r>
        <w:t xml:space="preserve"> </w:t>
      </w:r>
      <w:r>
        <w:t xml:space="preserve">low-confidence are flagged, with marker genes reported for each. This is distinct from</w:t>
      </w:r>
      <w:r>
        <w:t xml:space="preserve"> </w:t>
      </w:r>
      <w:r>
        <w:t xml:space="preserve">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39"/>
    <w:bookmarkStart w:id="40" w:name="scaling-protocol"/>
    <w:p>
      <w:pPr>
        <w:pStyle w:val="Heading2"/>
      </w:pPr>
      <w:r>
        <w:t xml:space="preserve">Scaling protocol</w:t>
      </w:r>
    </w:p>
    <w:p>
      <w:pPr>
        <w:pStyle w:val="FirstParagraph"/>
      </w:pPr>
      <w:r>
        <w:t xml:space="preserve">The reference is subsampled to five sizes up to</w:t>
      </w:r>
      <w:r>
        <w:t xml:space="preserve"> </w:t>
      </w:r>
      <w:r>
        <w:rPr>
          <w:b/>
          <w:bCs/>
        </w:rPr>
        <w:t xml:space="preserve">49k cells</w:t>
      </w:r>
      <w:r>
        <w:t xml:space="preserve"> </w:t>
      </w:r>
      <w:r>
        <w:t xml:space="preserve">with the query held fixed, so</w:t>
      </w:r>
      <w:r>
        <w:t xml:space="preserve"> </w:t>
      </w:r>
      <w:r>
        <w:t xml:space="preserve">that accuracy, fit time, predict time and peak memory are functions of reference size alone.</w:t>
      </w:r>
      <w:r>
        <w:t xml:space="preserve"> </w:t>
      </w:r>
      <w:r>
        <w:t xml:space="preserve">Reported per method. The sweep exists to find where one method overtakes another as the</w:t>
      </w:r>
      <w:r>
        <w:t xml:space="preserve"> </w:t>
      </w:r>
      <w:r>
        <w:t xml:space="preserve">reference grows, which no single reference size can show.</w:t>
      </w:r>
    </w:p>
    <w:bookmarkEnd w:id="40"/>
    <w:bookmarkStart w:id="42"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hyperlink r:id="rId41">
        <w:r>
          <w:rPr>
            <w:rStyle w:val="Hyperlink"/>
          </w:rPr>
          <w:t xml:space="preserve">Open Problems 2024</w:t>
        </w:r>
      </w:hyperlink>
      <w:r>
        <w:t xml:space="preserve"> </w:t>
      </w:r>
      <w:r>
        <w:t xml:space="preserve">supplies the</w:t>
      </w:r>
      <w:r>
        <w:t xml:space="preserve"> </w:t>
      </w:r>
      <w:r>
        <w:t xml:space="preserve">datasets, metrics and ranking — none chosen by us. actinn-jax is packaged as a viash 0.9.7</w:t>
      </w:r>
      <w:r>
        <w:t xml:space="preserve"> </w:t>
      </w:r>
      <w:r>
        <w:t xml:space="preserve">component declaring the normalization it expects, and run through the project’s own Nextflow</w:t>
      </w:r>
      <w:r>
        <w:t xml:space="preserve"> </w:t>
      </w:r>
      <w:r>
        <w:t xml:space="preserve">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t xml:space="preserve">Two caveats govern how those numbers may be read. The leaderboard aggregates runs from</w:t>
      </w:r>
      <w:r>
        <w:t xml:space="preserve"> </w:t>
      </w:r>
      <w:r>
        <w:rPr>
          <w:b/>
          <w:bCs/>
        </w:rPr>
        <w:t xml:space="preserve">heterogeneous cloud hardware</w:t>
      </w:r>
      <w:r>
        <w:t xml:space="preserve">, so its timings are not a controlled cost comparison — hence</w:t>
      </w:r>
      <w:r>
        <w:t xml:space="preserve"> </w:t>
      </w:r>
      <w:r>
        <w:t xml:space="preserve">the same-hardware run: every method on one AWS CPU instance. And in that run,</w:t>
      </w:r>
      <w:r>
        <w:t xml:space="preserve"> </w:t>
      </w:r>
      <w:r>
        <w:rPr>
          <w:b/>
          <w:bCs/>
        </w:rPr>
        <w:t xml:space="preserve">wall-clock is</w:t>
      </w:r>
      <w:r>
        <w:rPr>
          <w:b/>
          <w:bCs/>
        </w:rPr>
        <w:t xml:space="preserve"> </w:t>
      </w:r>
      <w:r>
        <w:rPr>
          <w:b/>
          <w:bCs/>
        </w:rPr>
        <w:t xml:space="preserve">only meaningful at matched concurrency</w:t>
      </w:r>
      <w:r>
        <w:t xml:space="preserve">: with several tasks per box,</w:t>
      </w:r>
      <w:r>
        <w:t xml:space="preserve"> </w:t>
      </w:r>
      <w:r>
        <w:rPr>
          <w:rStyle w:val="VerbatimChar"/>
        </w:rPr>
        <w:t xml:space="preserve">%cpu</w:t>
      </w:r>
      <w:r>
        <w:t xml:space="preserve"> </w:t>
      </w:r>
      <w:r>
        <w:t xml:space="preserve">spanned 49% to</w:t>
      </w:r>
      <w:r>
        <w:t xml:space="preserve"> </w:t>
      </w:r>
      <w:r>
        <w:t xml:space="preserve">2338% across methods, so cross-method runtime ratios measured at high concurrency rank</w:t>
      </w:r>
      <w:r>
        <w:t xml:space="preserve"> </w:t>
      </w:r>
      <w:r>
        <w:t xml:space="preserve">threading and scheduler contention as much as algorithm. Cost is therefore reported only</w:t>
      </w:r>
      <w:r>
        <w:t xml:space="preserve"> </w:t>
      </w:r>
      <w:r>
        <w:t xml:space="preserve">from the matched-concurrency run (Table 10); accuracy for the full eleven-method panel comes</w:t>
      </w:r>
      <w:r>
        <w:t xml:space="preserve"> </w:t>
      </w:r>
      <w:r>
        <w:t xml:space="preserve">from a separate single run of the same pipeline (Table 11).</w:t>
      </w:r>
    </w:p>
    <w:bookmarkEnd w:id="42"/>
    <w:bookmarkStart w:id="45"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 a CPU-only featurization in the style of</w:t>
      </w:r>
      <w:r>
        <w:t xml:space="preserve"> </w:t>
      </w:r>
      <w:r>
        <w:rPr>
          <w:b/>
          <w:bCs/>
        </w:rPr>
        <w:t xml:space="preserve">Universal Cell Embeddings (UCE)</w:t>
      </w:r>
      <w:r>
        <w:t xml:space="preserve"> </w:t>
      </w:r>
      <w:hyperlink r:id="rId43">
        <w:r>
          <w:rPr>
            <w:rStyle w:val="Hyperlink"/>
          </w:rPr>
          <w:t xml:space="preserve">Rosen 2026</w:t>
        </w:r>
      </w:hyperlink>
      <w:r>
        <w:t xml:space="preserve"> </w:t>
      </w:r>
      <w:r>
        <w:t xml:space="preserve">— an</w:t>
      </w:r>
      <w:r>
        <w:t xml:space="preserve"> </w:t>
      </w:r>
      <w:r>
        <w:t xml:space="preserve">expression-weighted mean of ESM2</w:t>
      </w:r>
      <w:r>
        <w:t xml:space="preserve"> </w:t>
      </w:r>
      <w:hyperlink r:id="rId44">
        <w:r>
          <w:rPr>
            <w:rStyle w:val="Hyperlink"/>
          </w:rPr>
          <w:t xml:space="preserve">Lin 2023</w:t>
        </w:r>
      </w:hyperlink>
      <w:r>
        <w:t xml:space="preserve"> </w:t>
      </w:r>
      <w:r>
        <w:t xml:space="preserve">protein-language-model gene embeddings — to test whether a foundation model’s value</w:t>
      </w:r>
      <w:r>
        <w:t xml:space="preserve"> </w:t>
      </w:r>
      <w:r>
        <w:t xml:space="preserve">survives a cheap pooling shortcut.</w:t>
      </w:r>
    </w:p>
    <w:bookmarkEnd w:id="45"/>
    <w:bookmarkEnd w:id="46"/>
    <w:bookmarkStart w:id="71" w:name="results"/>
    <w:p>
      <w:pPr>
        <w:pStyle w:val="Heading1"/>
      </w:pPr>
      <w:r>
        <w:t xml:space="preserve">Results</w:t>
      </w:r>
    </w:p>
    <w:bookmarkStart w:id="47" w:name="accuracy-and-cost"/>
    <w:p>
      <w:pPr>
        <w:pStyle w:val="Heading2"/>
      </w:pPr>
      <w:r>
        <w:t xml:space="preserve">Accuracy and cost</w:t>
      </w:r>
    </w:p>
    <w:p>
      <w:pPr>
        <w:pStyle w:val="FirstParagraph"/>
      </w:pPr>
      <w:r>
        <w:t xml:space="preserve">Accuracy is the mean over the</w:t>
      </w:r>
      <w:r>
        <w:t xml:space="preserve"> </w:t>
      </w:r>
      <w:r>
        <w:rPr>
          <w:b/>
          <w:bCs/>
        </w:rPr>
        <w:t xml:space="preserve">five shared-vocabulary datasets</w:t>
      </w:r>
      <w:r>
        <w:t xml:space="preserve"> </w:t>
      </w:r>
      <w:r>
        <w:t xml:space="preserve">(lung_cross</w:t>
      </w:r>
      <w:r>
        <w:t xml:space="preserve"> </w:t>
      </w:r>
      <w:r>
        <w:t xml:space="preserve">excluded — its exact accuracy is a vocabulary artifact, see the † note below; means over all</w:t>
      </w:r>
      <w:r>
        <w:t xml:space="preserve"> </w:t>
      </w:r>
      <w:r>
        <w:t xml:space="preserve">six are ~0.08 lower for every method, with the identical ranking); macro-F1 and ontology are</w:t>
      </w:r>
      <w:r>
        <w:t xml:space="preserve"> </w:t>
      </w:r>
      <w:r>
        <w:t xml:space="preserve">means over all six; cost is the mean per query (Table 3):</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(6)</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3.</w:t>
      </w:r>
      <w:r>
        <w:t xml:space="preserve"> </w:t>
      </w:r>
      <w:r>
        <w:t xml:space="preserve">Accuracy and cost together, ordered by accuracy. Accuracy is the mean over the five</w:t>
      </w:r>
      <w:r>
        <w:t xml:space="preserve"> </w:t>
      </w:r>
      <w:r>
        <w:t xml:space="preserve">shared-vocabulary datasets, macro-F1 and ontology concordance are means over all six, and cost</w:t>
      </w:r>
      <w:r>
        <w:t xml:space="preserve"> </w:t>
      </w:r>
      <w:r>
        <w:t xml:space="preserve">is the mean per query. Bold marks the best value in a column.</w:t>
      </w:r>
    </w:p>
    <w:p>
      <w:pPr>
        <w:pStyle w:val="BodyText"/>
      </w:pPr>
      <w:r>
        <w:t xml:space="preserve">*In Table 3, scANVI does most of its work in one train+predict pass, attributed to predict.</w:t>
      </w:r>
    </w:p>
    <w:p>
      <w:pPr>
        <w:pStyle w:val="BodyText"/>
      </w:pPr>
      <w:r>
        <w:t xml:space="preserve">The top four methods span</w:t>
      </w:r>
      <w:r>
        <w:t xml:space="preserve"> </w:t>
      </w:r>
      <w:r>
        <w:rPr>
          <w:b/>
          <w:bCs/>
        </w:rPr>
        <w:t xml:space="preserve">0.008 in accuracy, ~130× in predict time</w:t>
      </w:r>
      <w:r>
        <w:t xml:space="preserve"> </w:t>
      </w:r>
      <w:r>
        <w:t xml:space="preserve">(0.34 s to 89 s) and</w:t>
      </w:r>
      <w:r>
        <w:t xml:space="preserve"> </w:t>
      </w:r>
      <w:r>
        <w:t xml:space="preserve">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§3.3). The two profiles suit different jobs: one-shot</w:t>
      </w:r>
      <w:r>
        <w:t xml:space="preserve"> </w:t>
      </w:r>
      <w:r>
        <w:t xml:space="preserve">labelling,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146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Table 3, since they do not predict the dataset’s label</w:t>
      </w:r>
      <w:r>
        <w:t xml:space="preserve"> </w:t>
      </w:r>
      <w:r>
        <w:t xml:space="preserve">strings. They are scored by ontology concordance on the three datasets where reference and</w:t>
      </w:r>
      <w:r>
        <w:t xml:space="preserve"> </w:t>
      </w:r>
      <w:r>
        <w:t xml:space="preserve">query both carry CL ids,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Table 4.</w:t>
      </w:r>
      <w:r>
        <w:t xml:space="preserve"> </w:t>
      </w:r>
      <w:r>
        <w:t xml:space="preserve">Pretrained annotators, scored by ontology concordance only, on the three datasets</w:t>
      </w:r>
      <w:r>
        <w:t xml:space="preserve"> </w:t>
      </w:r>
      <w:r>
        <w:t xml:space="preserve">where reference and query both carry Cell Ontology ids — with reference-trained actinn-jax on</w:t>
      </w:r>
      <w:r>
        <w:t xml:space="preserve"> </w:t>
      </w:r>
      <w:r>
        <w:t xml:space="preserve">the same splits for scale. Not a like-for-like comparison; see the text below.</w:t>
      </w:r>
    </w:p>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0.218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The top of the accuracy table is a</w:t>
      </w:r>
      <w:r>
        <w:t xml:space="preserve"> </w:t>
      </w:r>
      <w:r>
        <w:rPr>
          <w:b/>
          <w:bCs/>
        </w:rPr>
        <w:t xml:space="preserve">four-way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(0.833), scArches (0.832) and actinn-jax (0.831) — led by the linear pipeline</w:t>
      </w:r>
      <w:r>
        <w:t xml:space="preserve"> </w:t>
      </w:r>
      <w:r>
        <w:t xml:space="preserve">rather than by a deep model. CellTypist (0.823) sits just outside it.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w:t>
      </w:r>
      <w:r>
        <w:t xml:space="preserve"> </w:t>
      </w:r>
      <w:r>
        <w:rPr>
          <w:rStyle w:val="VerbatimChar"/>
        </w:rPr>
        <w:t xml:space="preserve">SCALING_MEMORY.md</w:t>
      </w:r>
      <w:r>
        <w:t xml:space="preserve">),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w:t>
            </w:r>
          </w:p>
        </w:tc>
      </w:tr>
      <w:tr>
        <w:tc>
          <w:tcPr/>
          <w:p>
            <w:pPr>
              <w:pStyle w:val="Compact"/>
            </w:pPr>
            <w:r>
              <w:t xml:space="preserve">liver_cross (cross-study)</w:t>
            </w:r>
          </w:p>
        </w:tc>
        <w:tc>
          <w:tcPr/>
          <w:p>
            <w:pPr>
              <w:pStyle w:val="Compact"/>
            </w:pPr>
            <w:r>
              <w:rPr>
                <w:b/>
                <w:bCs/>
              </w:rPr>
              <w:t xml:space="preserve">0.686 exact / 0.731 ontology</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rPr>
          <w:b/>
          <w:bCs/>
        </w:rPr>
        <w:t xml:space="preserve">Table 5.</w:t>
      </w:r>
      <w:r>
        <w:t xml:space="preserve"> </w:t>
      </w:r>
      <w:r>
        <w:t xml:space="preserve">Per-dataset accuracy: actinn-jax against whichever method leads that dataset.</w:t>
      </w:r>
      <w:r>
        <w:t xml:space="preserve"> </w:t>
      </w:r>
      <w:r>
        <w:t xml:space="preserve">† on lung_cross the exact-match score is a vocabulary artifact, so ontology concordance is the</w:t>
      </w:r>
      <w:r>
        <w:t xml:space="preserve"> </w:t>
      </w:r>
      <w:r>
        <w:t xml:space="preserve">meaningful column.</w:t>
      </w:r>
    </w:p>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consistently the weakest (0.23 macro-F1 on</w:t>
      </w:r>
      <w:r>
        <w:t xml:space="preserve"> </w:t>
      </w:r>
      <w:r>
        <w:t xml:space="preserve">liver_cross).</w:t>
      </w:r>
    </w:p>
    <w:p>
      <w:pPr>
        <w:pStyle w:val="BodyText"/>
      </w:pPr>
      <w:r>
        <w:rPr>
          <w:b/>
          <w:bCs/>
        </w:rPr>
        <w:t xml:space="preserve">† lung_cross exact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47"/>
    <w:bookmarkStart w:id="51" w:name="the-accuracy-speed-frontier"/>
    <w:p>
      <w:pPr>
        <w:pStyle w:val="Heading2"/>
      </w:pPr>
      <w:r>
        <w:t xml:space="preserve">The accuracy × speed frontier</w:t>
      </w:r>
    </w:p>
    <w:p>
      <w:pPr>
        <w:pStyle w:val="FirstParagraph"/>
      </w:pPr>
      <w:r>
        <w:drawing>
          <wp:inline>
            <wp:extent cx="5334000" cy="3671222"/>
            <wp:effectExtent b="0" l="0" r="0" t="0"/>
            <wp:docPr descr="Pareto" title="" id="49" name="Picture"/>
            <a:graphic>
              <a:graphicData uri="http://schemas.openxmlformats.org/drawingml/2006/picture">
                <pic:pic>
                  <pic:nvPicPr>
                    <pic:cNvPr descr="/Users/iandriver/Downloads/actinn-jax-benchmark/docs/figures/fig_pareto_liver_intra.png" id="50" name="Picture"/>
                    <pic:cNvPicPr>
                      <a:picLocks noChangeArrowheads="1" noChangeAspect="1"/>
                    </pic:cNvPicPr>
                  </pic:nvPicPr>
                  <pic:blipFill>
                    <a:blip r:embed="rId48"/>
                    <a:stretch>
                      <a:fillRect/>
                    </a:stretch>
                  </pic:blipFill>
                  <pic:spPr bwMode="auto">
                    <a:xfrm>
                      <a:off x="0" y="0"/>
                      <a:ext cx="5334000" cy="367122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against total wall time on liver_intra. The tuned linear pipeline holds</w:t>
      </w:r>
      <w:r>
        <w:t xml:space="preserve"> </w:t>
      </w:r>
      <w:r>
        <w:t xml:space="preserve">the fast-frontier point; actinn-jax sits just inside it at this reference size, and what</w:t>
      </w:r>
      <w:r>
        <w:t xml:space="preserve"> </w:t>
      </w:r>
      <w:r>
        <w:t xml:space="preserve">separates it is visible only on the scaling axes of Figure 2.</w:t>
      </w:r>
    </w:p>
    <w:p>
      <w:pPr>
        <w:pStyle w:val="BodyText"/>
      </w:pPr>
      <w:r>
        <w:t xml:space="preserve">The</w:t>
      </w:r>
      <w:r>
        <w:t xml:space="preserve"> </w:t>
      </w:r>
      <w:r>
        <w:rPr>
          <w:b/>
          <w:bCs/>
        </w:rPr>
        <w:t xml:space="preserve">tuned linear pipeline</w:t>
      </w:r>
      <w:r>
        <w:t xml:space="preserve"> </w:t>
      </w:r>
      <w:r>
        <w:t xml:space="preserve">holds the fast-frontier point: highest matrix accuracy (0.839) at the lowest fit</w:t>
      </w:r>
      <w:r>
        <w:t xml:space="preserve"> </w:t>
      </w:r>
      <w:r>
        <w:t xml:space="preserve">time of any accurate method (3.0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30–130× the inference cost. actinn-jax</w:t>
      </w:r>
      <w:r>
        <w:t xml:space="preserve"> </w:t>
      </w:r>
      <w:r>
        <w:t xml:space="preserve">sits just inside the frontier at this reference size; what separates it is not visible on a</w:t>
      </w:r>
      <w:r>
        <w:t xml:space="preserve"> </w:t>
      </w:r>
      <w:r>
        <w:t xml:space="preserve">fixed-size plot but on the scaling axes of §3.3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of Tables 3 and 5.</w:t>
      </w:r>
    </w:p>
    <w:bookmarkEnd w:id="51"/>
    <w:bookmarkStart w:id="55" w:name="scaling"/>
    <w:p>
      <w:pPr>
        <w:pStyle w:val="Heading2"/>
      </w:pPr>
      <w:r>
        <w:t xml:space="preserve">Scaling</w:t>
      </w:r>
    </w:p>
    <w:p>
      <w:pPr>
        <w:pStyle w:val="FirstParagraph"/>
      </w:pPr>
      <w:r>
        <w:drawing>
          <wp:inline>
            <wp:extent cx="5334000" cy="1970216"/>
            <wp:effectExtent b="0" l="0" r="0" t="0"/>
            <wp:docPr descr="scaling" title="" id="53" name="Picture"/>
            <a:graphic>
              <a:graphicData uri="http://schemas.openxmlformats.org/drawingml/2006/picture">
                <pic:pic>
                  <pic:nvPicPr>
                    <pic:cNvPr descr="/Users/iandriver/Downloads/actinn-jax-benchmark/docs/figures/fig_scaling.png" id="54" name="Picture"/>
                    <pic:cNvPicPr>
                      <a:picLocks noChangeArrowheads="1" noChangeAspect="1"/>
                    </pic:cNvPicPr>
                  </pic:nvPicPr>
                  <pic:blipFill>
                    <a:blip r:embed="rId52"/>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 time against reference size and label cardinality. Fit time grows</w:t>
      </w:r>
      <w:r>
        <w:t xml:space="preserve"> </w:t>
      </w:r>
      <w:r>
        <w:t xml:space="preserve">for every trained method; predict time stays flat and sub-second across the whole range.</w:t>
      </w:r>
    </w:p>
    <w:p>
      <w:pPr>
        <w:pStyle w:val="BodyText"/>
      </w:pPr>
      <w:r>
        <w:t xml:space="preserve">Training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is lazy (fit is trivial but it pays at predict and is the least accurate).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§3.2.)</w:t>
      </w:r>
    </w:p>
    <w:bookmarkEnd w:id="55"/>
    <w:bookmarkStart w:id="59"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BodyText"/>
      </w:pPr>
      <w:r>
        <w:drawing>
          <wp:inline>
            <wp:extent cx="5334000" cy="2195377"/>
            <wp:effectExtent b="0" l="0" r="0" t="0"/>
            <wp:docPr descr="the broad pass and the focused pass on one query" title="" id="57" name="Picture"/>
            <a:graphic>
              <a:graphicData uri="http://schemas.openxmlformats.org/drawingml/2006/picture">
                <pic:pic>
                  <pic:nvPicPr>
                    <pic:cNvPr descr="/Users/iandriver/Downloads/actinn-jax-benchmark/docs/figures/fig_workflow_umap.png" id="58" name="Picture"/>
                    <pic:cNvPicPr>
                      <a:picLocks noChangeArrowheads="1" noChangeAspect="1"/>
                    </pic:cNvPicPr>
                  </pic:nvPicPr>
                  <pic:blipFill>
                    <a:blip r:embed="rId56"/>
                    <a:stretch>
                      <a:fillRect/>
                    </a:stretch>
                  </pic:blipFill>
                  <pic:spPr bwMode="auto">
                    <a:xfrm>
                      <a:off x="0" y="0"/>
                      <a:ext cx="5334000" cy="2195377"/>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The two passes on the withheld HLiCA liver study (3,396 cells), same UMAP</w:t>
      </w:r>
      <w:r>
        <w:t xml:space="preserve"> </w:t>
      </w:r>
      <w:r>
        <w:t xml:space="preserve">throughout.</w:t>
      </w:r>
      <w:r>
        <w:t xml:space="preserve"> </w:t>
      </w:r>
      <w:r>
        <w:rPr>
          <w:i/>
          <w:iCs/>
        </w:rPr>
        <w:t xml:space="preserve">Left:</w:t>
      </w:r>
      <w:r>
        <w:t xml:space="preserve"> </w:t>
      </w:r>
      <w:r>
        <w:t xml:space="preserve">the shipped census reference spreads 137 of its 798 labels over the</w:t>
      </w:r>
      <w:r>
        <w:t xml:space="preserve"> </w:t>
      </w:r>
      <w:r>
        <w:t xml:space="preserve">query with little correspondence to cluster structure — ontology concordance</w:t>
      </w:r>
      <w:r>
        <w:t xml:space="preserve"> </w:t>
      </w:r>
      <w:r>
        <w:rPr>
          <w:b/>
          <w:bCs/>
        </w:rPr>
        <w:t xml:space="preserve">0.34</w:t>
      </w:r>
      <w:r>
        <w:t xml:space="preserve">. Its</w:t>
      </w:r>
      <w:r>
        <w:t xml:space="preserve"> </w:t>
      </w:r>
      <w:r>
        <w:t xml:space="preserve">job is to establish that this is liver and route accordingly, not to name subtypes.</w:t>
      </w:r>
      <w:r>
        <w:t xml:space="preserve"> </w:t>
      </w:r>
      <w:r>
        <w:rPr>
          <w:i/>
          <w:iCs/>
        </w:rPr>
        <w:t xml:space="preserve">Middle:</w:t>
      </w:r>
      <w:r>
        <w:t xml:space="preserve"> </w:t>
      </w:r>
      <w:r>
        <w:t xml:space="preserve">a 36-type liver reference trained on the six non-withheld studies re-annotates the</w:t>
      </w:r>
      <w:r>
        <w:t xml:space="preserve"> </w:t>
      </w:r>
      <w:r>
        <w:t xml:space="preserve">same cells at</w:t>
      </w:r>
      <w:r>
        <w:t xml:space="preserve"> </w:t>
      </w:r>
      <w:r>
        <w:rPr>
          <w:b/>
          <w:bCs/>
        </w:rPr>
        <w:t xml:space="preserve">0.73</w:t>
      </w:r>
      <w:r>
        <w:t xml:space="preserve">, and its labels now track the clusters.</w:t>
      </w:r>
      <w:r>
        <w:t xml:space="preserve"> </w:t>
      </w:r>
      <w:r>
        <w:rPr>
          <w:i/>
          <w:iCs/>
        </w:rPr>
        <w:t xml:space="preserve">Right:</w:t>
      </w:r>
      <w:r>
        <w:t xml:space="preserve"> </w:t>
      </w:r>
      <w:r>
        <w:t xml:space="preserve">the study’s own</w:t>
      </w:r>
      <w:r>
        <w:t xml:space="preserve"> </w:t>
      </w:r>
      <w:r>
        <w:t xml:space="preserve">labels, on the shared palette, for comparison with the middle panel. Both models are</w:t>
      </w:r>
      <w:r>
        <w:t xml:space="preserve"> </w:t>
      </w:r>
      <w:r>
        <w:t xml:space="preserve">leakage-free with respect to this query: the focused reference is trained only on the other</w:t>
      </w:r>
      <w:r>
        <w:t xml:space="preserve"> </w:t>
      </w:r>
      <w:r>
        <w:t xml:space="preserve">six studies (the</w:t>
      </w:r>
      <w:r>
        <w:t xml:space="preserve"> </w:t>
      </w:r>
      <w:r>
        <w:rPr>
          <w:i/>
          <w:iCs/>
        </w:rPr>
        <w:t xml:space="preserve">shipped</w:t>
      </w:r>
      <w:r>
        <w:t xml:space="preserve"> </w:t>
      </w:r>
      <w:r>
        <w:t xml:space="preserve">liver reference includes this study and would score 0.94 here,</w:t>
      </w:r>
      <w:r>
        <w:t xml:space="preserve"> </w:t>
      </w:r>
      <w:r>
        <w:t xml:space="preserve">which is why it is not the model plotted). Abstention is switched off in all panels so the</w:t>
      </w:r>
      <w:r>
        <w:t xml:space="preserve"> </w:t>
      </w:r>
      <w:r>
        <w:t xml:space="preserve">numbers measure labelling 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(see the smooth abstain curve of §3.5). This is the</w:t>
      </w:r>
      <w:r>
        <w:t xml:space="preserve"> </w:t>
      </w:r>
      <w:r>
        <w:t xml:space="preserve">“what am I looking at”</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6.</w:t>
      </w:r>
      <w:r>
        <w:t xml:space="preserve"> </w:t>
      </w:r>
      <w:r>
        <w:t xml:space="preserve">Three broad-pass entry points on 3,396 withheld cross-study liver cells: the</w:t>
      </w:r>
      <w:r>
        <w:t xml:space="preserve"> </w:t>
      </w:r>
      <w:r>
        <w:t xml:space="preserve">census-built reference, the Pan-human Azimuth teacher, and the model distilled from that</w:t>
      </w:r>
      <w:r>
        <w:t xml:space="preserve"> </w:t>
      </w:r>
      <w:r>
        <w:t xml:space="preserve">teacher.</w:t>
      </w:r>
    </w:p>
    <w:p>
      <w:pPr>
        <w:pStyle w:val="BodyText"/>
      </w:pPr>
      <w:r>
        <w:t xml:space="preserve">This makes the entry point both better and ~3× faster than building it from the census</w:t>
      </w:r>
      <w:r>
        <w:t xml:space="preserve"> </w:t>
      </w:r>
      <w:r>
        <w:t xml:space="preserve">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Distillation itself therefore costs very little: on data neither model was</w:t>
      </w:r>
      <w:r>
        <w:t xml:space="preserve"> </w:t>
      </w:r>
      <w:r>
        <w:t xml:space="preserve">built for, the student stays within a few points of its teacher. What holds the student back</w:t>
      </w:r>
      <w:r>
        <w:t xml:space="preserve"> </w:t>
      </w:r>
      <w:r>
        <w:t xml:space="preserve">is which tissues and studies its training corpus happened to contain — widening the corpus</w:t>
      </w:r>
      <w:r>
        <w:t xml:space="preserve"> </w:t>
      </w:r>
      <w:r>
        <w:t xml:space="preserve">should move these numbers, changing the distillation procedure should not.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(keeping the 90.5% of</w:t>
      </w:r>
      <w:r>
        <w:t xml:space="preserve"> </w:t>
      </w:r>
      <w:r>
        <w:t xml:space="preserve">cells it calls with probability at least 0.5 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A second organism, and a hierarchy that needs no GPU.</w:t>
      </w:r>
      <w:r>
        <w:t xml:space="preserve"> </w:t>
      </w:r>
      <w:r>
        <w:t xml:space="preserve">Neither route above</w:t>
      </w:r>
      <w:r>
        <w:t xml:space="preserve"> </w:t>
      </w:r>
      <w:r>
        <w:t xml:space="preserve">transfers to mouse: Pan-human Azimuth is human-only, so there is no teacher to distill, and</w:t>
      </w:r>
      <w:r>
        <w:t xml:space="preserve"> </w:t>
      </w:r>
      <w:r>
        <w:t xml:space="preserve">the census route wants scPRINT on a GPU with mouse support we have not tested. But the census</w:t>
      </w:r>
      <w:r>
        <w:t xml:space="preserve"> </w:t>
      </w:r>
      <w:r>
        <w:t xml:space="preserve">already 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t>
      </w:r>
      <w:r>
        <w:t xml:space="preserve">(same Ward linkage, ontology indicator</w:t>
      </w:r>
      <w:r>
        <w:t xml:space="preserve"> </w:t>
      </w:r>
      <w:r>
        <w:t xml:space="preserve">vectors in place of embeddings) gives a hierarchy that is free, deterministic and</w:t>
      </w:r>
      <w:r>
        <w:t xml:space="preserve"> </w:t>
      </w:r>
      <w:r>
        <w:t xml:space="preserve">species-independent.</w:t>
      </w:r>
    </w:p>
    <w:p>
      <w:pPr>
        <w:pStyle w:val="BodyText"/>
      </w:pPr>
      <w:r>
        <w:t xml:space="preserve">That substitution needs a control, since any grouping might help. Built from one human corpus</w:t>
      </w:r>
      <w:r>
        <w:t xml:space="preserve"> </w:t>
      </w:r>
      <w:r>
        <w:t xml:space="preserve">(51,346 cells / 867 types) and scored on the held-out lung atlas</w:t>
      </w:r>
      <w:r>
        <w:t xml:space="preserve"> </w:t>
      </w:r>
      <w:r>
        <w:t xml:space="preserve">(per-run</w:t>
      </w:r>
      <w:r>
        <w:t xml:space="preserve"> </w:t>
      </w:r>
      <w:r>
        <w:t xml:space="preserve">numbers in the</w:t>
      </w:r>
      <w:r>
        <w:t xml:space="preserve"> </w:t>
      </w:r>
      <w:hyperlink r:id="rId33">
        <w:r>
          <w:rPr>
            <w:rStyle w:val="Hyperlink"/>
          </w:rPr>
          <w:t xml:space="preserve">benchmark repository</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coarse hierarchy</w:t>
            </w:r>
          </w:p>
        </w:tc>
        <w:tc>
          <w:tcPr/>
          <w:p>
            <w:pPr>
              <w:pStyle w:val="Compact"/>
              <w:jc w:val="right"/>
            </w:pPr>
            <w:r>
              <w:t xml:space="preserve">ontology</w:t>
            </w:r>
          </w:p>
        </w:tc>
      </w:tr>
      <w:tr>
        <w:tc>
          <w:tcPr/>
          <w:p>
            <w:pPr>
              <w:pStyle w:val="Compact"/>
            </w:pPr>
            <w:r>
              <w:rPr>
                <w:b/>
                <w:bCs/>
              </w:rPr>
              <w:t xml:space="preserve">Cell Ontology lineage</w:t>
            </w:r>
          </w:p>
        </w:tc>
        <w:tc>
          <w:tcPr/>
          <w:p>
            <w:pPr>
              <w:pStyle w:val="Compact"/>
              <w:jc w:val="right"/>
            </w:pPr>
            <w:r>
              <w:rPr>
                <w:b/>
                <w:bCs/>
              </w:rPr>
              <w:t xml:space="preserve">0.616</w:t>
            </w:r>
          </w:p>
        </w:tc>
      </w:tr>
      <w:tr>
        <w:tc>
          <w:tcPr/>
          <w:p>
            <w:pPr>
              <w:pStyle w:val="Compact"/>
            </w:pPr>
            <w:r>
              <w:t xml:space="preserve">flat, no hierarchy</w:t>
            </w:r>
          </w:p>
        </w:tc>
        <w:tc>
          <w:tcPr/>
          <w:p>
            <w:pPr>
              <w:pStyle w:val="Compact"/>
              <w:jc w:val="right"/>
            </w:pPr>
            <w:r>
              <w:t xml:space="preserve">0.547</w:t>
            </w:r>
          </w:p>
        </w:tc>
      </w:tr>
      <w:tr>
        <w:tc>
          <w:tcPr/>
          <w:p>
            <w:pPr>
              <w:pStyle w:val="Compact"/>
            </w:pPr>
            <w:r>
              <w:t xml:space="preserve">random grouping, same group sizes</w:t>
            </w:r>
          </w:p>
        </w:tc>
        <w:tc>
          <w:tcPr/>
          <w:p>
            <w:pPr>
              <w:pStyle w:val="Compact"/>
              <w:jc w:val="right"/>
            </w:pPr>
            <w:r>
              <w:t xml:space="preserve">0.539</w:t>
            </w:r>
          </w:p>
        </w:tc>
      </w:tr>
    </w:tbl>
    <w:p>
      <w:pPr>
        <w:pStyle w:val="BodyText"/>
      </w:pPr>
      <w:r>
        <w:rPr>
          <w:b/>
          <w:bCs/>
        </w:rPr>
        <w:t xml:space="preserve">Table 7.</w:t>
      </w:r>
      <w:r>
        <w:t xml:space="preserve"> </w:t>
      </w:r>
      <w:r>
        <w:t xml:space="preserve">Coarse-hierarchy ablation, ordered by accuracy. Ontology concordance on the</w:t>
      </w:r>
      <w:r>
        <w:t xml:space="preserve"> </w:t>
      </w:r>
      <w:r>
        <w:t xml:space="preserve">held-out lung atlas for a Cell Ontology lineage hierarchy, no hierarchy at all, and a random</w:t>
      </w:r>
      <w:r>
        <w:t xml:space="preserve"> </w:t>
      </w:r>
      <w:r>
        <w:t xml:space="preserve">grouping with the same group sizes as the ontology one.</w:t>
      </w:r>
    </w:p>
    <w:p>
      <w:pPr>
        <w:pStyle w:val="BodyText"/>
      </w:pPr>
      <w:r>
        <w:t xml:space="preserve">Random grouping scores no better than no grouping at all (0.539 against 0.547), which rules</w:t>
      </w:r>
      <w:r>
        <w:t xml:space="preserve"> </w:t>
      </w:r>
      <w:r>
        <w:t xml:space="preserve">out the simplest explanation for the gain: that splitting 867 types into 29 smaller problems</w:t>
      </w:r>
      <w:r>
        <w:t xml:space="preserve"> </w:t>
      </w:r>
      <w:r>
        <w:t xml:space="preserve">makes each fine classifier’s job easier, something any split would do. What matters is</w:t>
      </w:r>
      <w:r>
        <w:t xml:space="preserve"> </w:t>
      </w:r>
      <w:r>
        <w:rPr>
          <w:i/>
          <w:iCs/>
        </w:rPr>
        <w:t xml:space="preserve">which</w:t>
      </w:r>
      <w:r>
        <w:t xml:space="preserve"> </w:t>
      </w:r>
      <w:r>
        <w:t xml:space="preserve">types share a group. Each group has its own fine classifier and the coarse call decides which</w:t>
      </w:r>
      <w:r>
        <w:t xml:space="preserve"> </w:t>
      </w:r>
      <w:r>
        <w:t xml:space="preserve">one ever sees the cell, so a group pays off only if the coarse classifier can recognize it</w:t>
      </w:r>
      <w:r>
        <w:t xml:space="preserve"> </w:t>
      </w:r>
      <w:r>
        <w:rPr>
          <w:i/>
          <w:iCs/>
        </w:rPr>
        <w:t xml:space="preserve">and</w:t>
      </w:r>
      <w:r>
        <w:t xml:space="preserve"> </w:t>
      </w:r>
      <w:r>
        <w:t xml:space="preserve">the right answer is inside it. Lineage groups manage both; groups of the same sizes</w:t>
      </w:r>
      <w:r>
        <w:t xml:space="preserve"> </w:t>
      </w:r>
      <w:r>
        <w:t xml:space="preserve">drawn at random manage neither.</w:t>
      </w:r>
    </w:p>
    <w:p>
      <w:pPr>
        <w:pStyle w:val="BodyText"/>
      </w:pPr>
      <w:r>
        <w:t xml:space="preserve">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t xml:space="preserve">confidence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rPr>
          <w:b/>
          <w:bCs/>
        </w:rPr>
        <w:t xml:space="preserve">Table 8.</w:t>
      </w:r>
      <w:r>
        <w:t xml:space="preserve"> </w:t>
      </w:r>
      <w:r>
        <w:rPr>
          <w:rStyle w:val="VerbatimChar"/>
        </w:rPr>
        <w:t xml:space="preserve">broad_mouse_v1</w:t>
      </w:r>
      <w:r>
        <w:t xml:space="preserve"> </w:t>
      </w:r>
      <w:r>
        <w:t xml:space="preserve">on 12,646 held-out mouse cells (137 truth types, 41 tissues, none</w:t>
      </w:r>
      <w:r>
        <w:t xml:space="preserve"> </w:t>
      </w:r>
      <w:r>
        <w:t xml:space="preserve">of it in the reference), with and without abstain.</w:t>
      </w:r>
    </w:p>
    <w:p>
      <w:pPr>
        <w:pStyle w:val="BodyText"/>
      </w:pPr>
      <w:r>
        <w:t xml:space="preserve">Its abstain calibration is also better behaved than the human census model’s — 0.88 accuracy</w:t>
      </w:r>
      <w:r>
        <w:t xml:space="preserve"> </w:t>
      </w:r>
      <w:r>
        <w:t xml:space="preserve">at 82% coverage, against 0.80 at 46% — because mouse census carries fewer near-duplicate</w:t>
      </w:r>
      <w:r>
        <w:t xml:space="preserve"> </w:t>
      </w:r>
      <w:r>
        <w:t xml:space="preserve">subtypes than human’s ~800-way vocabulary. Read across organisms with care: these are</w:t>
      </w:r>
      <w:r>
        <w:t xml:space="preserve"> </w:t>
      </w:r>
      <w:r>
        <w:t xml:space="preserve">different queries, so the mouse numbers sit in the same regime as the human ones rather than</w:t>
      </w:r>
      <w:r>
        <w:t xml:space="preserve"> </w:t>
      </w:r>
      <w:r>
        <w:t xml:space="preserve">being comparable to them. Two limits apply.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The gain is large and it is the crux of</w:t>
      </w:r>
      <w:r>
        <w:t xml:space="preserve"> </w:t>
      </w:r>
      <w:r>
        <w:t xml:space="preserve">the workflow: on held-out</w:t>
      </w:r>
      <w:r>
        <w:t xml:space="preserve"> </w:t>
      </w:r>
      <w:r>
        <w:rPr>
          <w:b/>
          <w:bCs/>
        </w:rPr>
        <w:t xml:space="preserve">cross-study</w:t>
      </w:r>
      <w:r>
        <w:t xml:space="preserve"> </w:t>
      </w:r>
      <w:r>
        <w:t xml:space="preserve">liver cells, the broad census model scores</w:t>
      </w:r>
      <w:r>
        <w:t xml:space="preserve"> </w:t>
      </w:r>
      <w:r>
        <w:t xml:space="preserve">exact-CL</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48-type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broad pass hands the query to the focused pass; the two do not combine.</w:t>
      </w:r>
      <w:r>
        <w:t xml:space="preserve"> </w:t>
      </w:r>
      <w:r>
        <w:t xml:space="preserve">The natural</w:t>
      </w:r>
      <w:r>
        <w:t xml:space="preserve"> </w:t>
      </w:r>
      <w:r>
        <w:t xml:space="preserve">assumption is that a better broad call should also make the focused call better. It does not.</w:t>
      </w:r>
      <w:r>
        <w:t xml:space="preserve"> </w:t>
      </w:r>
      <w:r>
        <w:t xml:space="preserve">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coarse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covering cells</w:t>
      </w:r>
      <w:r>
        <w:t xml:space="preserve"> </w:t>
      </w:r>
      <w:r>
        <w:t xml:space="preserve">none of them claims (</w:t>
      </w:r>
      <w:r>
        <w:rPr>
          <w:rStyle w:val="VerbatimChar"/>
        </w:rPr>
        <w:t xml:space="preserve">PAN_HUMAN_AZIMUTH.md</w:t>
      </w:r>
      <w:r>
        <w:t xml:space="preserve">).</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generalizing across donors and datasets — a</w:t>
      </w:r>
      <w:r>
        <w:t xml:space="preserve"> </w:t>
      </w:r>
      <w:r>
        <w:t xml:space="preserve">third stage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59"/>
    <w:bookmarkStart w:id="60"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rPr>
          <w:b/>
          <w:bCs/>
        </w:rPr>
        <w:t xml:space="preserve">Table 9.</w:t>
      </w:r>
      <w:r>
        <w:t xml:space="preserve"> </w:t>
      </w:r>
      <w:r>
        <w:t xml:space="preserve">Confidence-threshold sweep with 9 of 36 cell types held out of the liver reference,</w:t>
      </w:r>
      <w:r>
        <w:t xml:space="preserve"> </w:t>
      </w:r>
      <w:r>
        <w:t xml:space="preserve">so 1,350 query cells are genuinely out-of-distribution. Each cell reads accuracy on kept cells /</w:t>
      </w:r>
      <w:r>
        <w:t xml:space="preserve"> </w:t>
      </w:r>
      <w:r>
        <w:t xml:space="preserve">fraction of cells kept / fraction of held-out-type cells flagged.</w:t>
      </w:r>
    </w:p>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bookmarkEnd w:id="60"/>
    <w:bookmarkStart w:id="61"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 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61"/>
    <w:bookmarkStart w:id="70"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62">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w:t>
      </w:r>
      <w:r>
        <w:t xml:space="preserve"> </w:t>
      </w:r>
      <w:hyperlink r:id="rId63">
        <w:r>
          <w:rPr>
            <w:rStyle w:val="Hyperlink"/>
          </w:rPr>
          <w:t xml:space="preserve">Chen &amp; Guestrin 2016</w:t>
        </w:r>
      </w:hyperlink>
      <w:r>
        <w:t xml:space="preserve"> </w:t>
      </w:r>
      <w:r>
        <w:t xml:space="preserve">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rPr>
          <w:b/>
          <w:bCs/>
        </w:rPr>
        <w:t xml:space="preserve">Controlled same-hardware speed &amp; memory.</w:t>
      </w:r>
      <w:r>
        <w:t xml:space="preserve"> </w:t>
      </w:r>
      <w:r>
        <w:t xml:space="preserve">Leaderboard runtimes mix hardware, so we re-ran</w:t>
      </w:r>
      <w:r>
        <w:t xml:space="preserve"> </w:t>
      </w:r>
      <w:r>
        <w:t xml:space="preserve">actinn-jax and the CPU tier through OP’s</w:t>
      </w:r>
      <w:r>
        <w:t xml:space="preserve"> </w:t>
      </w:r>
      <w:r>
        <w:rPr>
          <w:i/>
          <w:iCs/>
        </w:rPr>
        <w:t xml:space="preserve">own</w:t>
      </w:r>
      <w:r>
        <w:t xml:space="preserve"> </w:t>
      </w:r>
      <w:r>
        <w:t xml:space="preserve">Nextflow pipeline on a</w:t>
      </w:r>
      <w:r>
        <w:t xml:space="preserve"> </w:t>
      </w:r>
      <w:r>
        <w:rPr>
          <w:b/>
          <w:bCs/>
        </w:rPr>
        <w:t xml:space="preserve">single AWS</w:t>
      </w:r>
      <w:r>
        <w:rPr>
          <w:b/>
          <w:bCs/>
        </w:rPr>
        <w:t xml:space="preserve"> </w:t>
      </w:r>
      <w:r>
        <w:rPr>
          <w:rStyle w:val="VerbatimChar"/>
          <w:b/>
          <w:bCs/>
        </w:rPr>
        <w:t xml:space="preserve">r7i.8xlarge</w:t>
      </w:r>
      <w:r>
        <w:t xml:space="preserve"> </w:t>
      </w:r>
      <w:r>
        <w:t xml:space="preserve">— identical hardware, harness, storage, and trace instrumentation for every</w:t>
      </w:r>
      <w:r>
        <w:t xml:space="preserve"> </w:t>
      </w:r>
      <w:r>
        <w:t xml:space="preserve">method. This is the paper’s cleanest cross-method cost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 (same box)</w:t>
            </w:r>
          </w:p>
        </w:tc>
        <w:tc>
          <w:tcPr/>
          <w:p>
            <w:pPr>
              <w:pStyle w:val="Compact"/>
            </w:pPr>
            <w:r>
              <w:t xml:space="preserve">mean acc</w:t>
            </w:r>
          </w:p>
        </w:tc>
        <w:tc>
          <w:tcPr/>
          <w:p>
            <w:pPr>
              <w:pStyle w:val="Compact"/>
            </w:pPr>
            <w:r>
              <w:t xml:space="preserve">macro-F1</w:t>
            </w:r>
          </w:p>
        </w:tc>
        <w:tc>
          <w:tcPr/>
          <w:p>
            <w:pPr>
              <w:pStyle w:val="Compact"/>
            </w:pPr>
            <w:r>
              <w:t xml:space="preserve">runtime/dataset</w:t>
            </w:r>
          </w:p>
        </w:tc>
        <w:tc>
          <w:tcPr/>
          <w:p>
            <w:pPr>
              <w:pStyle w:val="Compact"/>
            </w:pPr>
            <w:r>
              <w:t xml:space="preserve">peak RSS</w:t>
            </w:r>
          </w:p>
        </w:tc>
      </w:tr>
      <w:tr>
        <w:tc>
          <w:tcPr/>
          <w:p>
            <w:pPr>
              <w:pStyle w:val="Compact"/>
            </w:pPr>
            <w:r>
              <w:t xml:space="preserve">mlp</w:t>
            </w:r>
          </w:p>
        </w:tc>
        <w:tc>
          <w:tcPr/>
          <w:p>
            <w:pPr>
              <w:pStyle w:val="Compact"/>
            </w:pPr>
            <w:r>
              <w:t xml:space="preserve">0.838</w:t>
            </w:r>
          </w:p>
        </w:tc>
        <w:tc>
          <w:tcPr/>
          <w:p>
            <w:pPr>
              <w:pStyle w:val="Compact"/>
            </w:pPr>
            <w:r>
              <w:t xml:space="preserve">0.664</w:t>
            </w:r>
          </w:p>
        </w:tc>
        <w:tc>
          <w:tcPr/>
          <w:p>
            <w:pPr>
              <w:pStyle w:val="Compact"/>
            </w:pPr>
            <w:r>
              <w:t xml:space="preserve">327 s</w:t>
            </w:r>
          </w:p>
        </w:tc>
        <w:tc>
          <w:tcPr/>
          <w:p>
            <w:pPr>
              <w:pStyle w:val="Compact"/>
            </w:pPr>
            <w:r>
              <w:t xml:space="preserve">19.9 GB</w:t>
            </w:r>
          </w:p>
        </w:tc>
      </w:tr>
      <w:tr>
        <w:tc>
          <w:tcPr/>
          <w:p>
            <w:pPr>
              <w:pStyle w:val="Compact"/>
            </w:pPr>
            <w:r>
              <w:rPr>
                <w:b/>
                <w:bCs/>
              </w:rPr>
              <w:t xml:space="preserve">actinn-jax</w:t>
            </w:r>
          </w:p>
        </w:tc>
        <w:tc>
          <w:tcPr/>
          <w:p>
            <w:pPr>
              <w:pStyle w:val="Compact"/>
            </w:pPr>
            <w:r>
              <w:t xml:space="preserve">0.837</w:t>
            </w:r>
          </w:p>
        </w:tc>
        <w:tc>
          <w:tcPr/>
          <w:p>
            <w:pPr>
              <w:pStyle w:val="Compact"/>
            </w:pPr>
            <w:r>
              <w:t xml:space="preserve">0.655</w:t>
            </w:r>
          </w:p>
        </w:tc>
        <w:tc>
          <w:tcPr/>
          <w:p>
            <w:pPr>
              <w:pStyle w:val="Compact"/>
            </w:pPr>
            <w:r>
              <w:rPr>
                <w:b/>
                <w:bCs/>
              </w:rPr>
              <w:t xml:space="preserve">165 s</w:t>
            </w:r>
          </w:p>
        </w:tc>
        <w:tc>
          <w:tcPr/>
          <w:p>
            <w:pPr>
              <w:pStyle w:val="Compact"/>
            </w:pPr>
            <w:r>
              <w:t xml:space="preserve">21.0 GB</w:t>
            </w:r>
          </w:p>
        </w:tc>
      </w:tr>
      <w:tr>
        <w:tc>
          <w:tcPr/>
          <w:p>
            <w:pPr>
              <w:pStyle w:val="Compact"/>
            </w:pPr>
            <w:r>
              <w:t xml:space="preserve">logistic_regression</w:t>
            </w:r>
          </w:p>
        </w:tc>
        <w:tc>
          <w:tcPr/>
          <w:p>
            <w:pPr>
              <w:pStyle w:val="Compact"/>
            </w:pPr>
            <w:r>
              <w:t xml:space="preserve">0.813</w:t>
            </w:r>
          </w:p>
        </w:tc>
        <w:tc>
          <w:tcPr/>
          <w:p>
            <w:pPr>
              <w:pStyle w:val="Compact"/>
            </w:pPr>
            <w:r>
              <w:t xml:space="preserve">0.689</w:t>
            </w:r>
          </w:p>
        </w:tc>
        <w:tc>
          <w:tcPr/>
          <w:p>
            <w:pPr>
              <w:pStyle w:val="Compact"/>
            </w:pPr>
            <w:r>
              <w:t xml:space="preserve">29 s</w:t>
            </w:r>
          </w:p>
        </w:tc>
        <w:tc>
          <w:tcPr/>
          <w:p>
            <w:pPr>
              <w:pStyle w:val="Compact"/>
            </w:pPr>
            <w:r>
              <w:t xml:space="preserve">20.0 GB</w:t>
            </w:r>
          </w:p>
        </w:tc>
      </w:tr>
      <w:tr>
        <w:tc>
          <w:tcPr/>
          <w:p>
            <w:pPr>
              <w:pStyle w:val="Compact"/>
            </w:pPr>
            <w:r>
              <w:t xml:space="preserve">xgboost</w:t>
            </w:r>
          </w:p>
        </w:tc>
        <w:tc>
          <w:tcPr/>
          <w:p>
            <w:pPr>
              <w:pStyle w:val="Compact"/>
            </w:pPr>
            <w:r>
              <w:t xml:space="preserve">0.795</w:t>
            </w:r>
          </w:p>
        </w:tc>
        <w:tc>
          <w:tcPr/>
          <w:p>
            <w:pPr>
              <w:pStyle w:val="Compact"/>
            </w:pPr>
            <w:r>
              <w:t xml:space="preserve">0.613</w:t>
            </w:r>
          </w:p>
        </w:tc>
        <w:tc>
          <w:tcPr/>
          <w:p>
            <w:pPr>
              <w:pStyle w:val="Compact"/>
            </w:pPr>
            <w:r>
              <w:t xml:space="preserve">905 s</w:t>
            </w:r>
          </w:p>
        </w:tc>
        <w:tc>
          <w:tcPr/>
          <w:p>
            <w:pPr>
              <w:pStyle w:val="Compact"/>
            </w:pPr>
            <w:r>
              <w:t xml:space="preserve">80.7 GB</w:t>
            </w:r>
          </w:p>
        </w:tc>
      </w:tr>
      <w:tr>
        <w:tc>
          <w:tcPr/>
          <w:p>
            <w:pPr>
              <w:pStyle w:val="Compact"/>
            </w:pPr>
            <w:r>
              <w:t xml:space="preserve">knn</w:t>
            </w:r>
          </w:p>
        </w:tc>
        <w:tc>
          <w:tcPr/>
          <w:p>
            <w:pPr>
              <w:pStyle w:val="Compact"/>
            </w:pPr>
            <w:r>
              <w:t xml:space="preserve">0.793</w:t>
            </w:r>
          </w:p>
        </w:tc>
        <w:tc>
          <w:tcPr/>
          <w:p>
            <w:pPr>
              <w:pStyle w:val="Compact"/>
            </w:pPr>
            <w:r>
              <w:t xml:space="preserve">0.648</w:t>
            </w:r>
          </w:p>
        </w:tc>
        <w:tc>
          <w:tcPr/>
          <w:p>
            <w:pPr>
              <w:pStyle w:val="Compact"/>
            </w:pPr>
            <w:r>
              <w:t xml:space="preserve">11 s</w:t>
            </w:r>
          </w:p>
        </w:tc>
        <w:tc>
          <w:tcPr/>
          <w:p>
            <w:pPr>
              <w:pStyle w:val="Compact"/>
            </w:pPr>
            <w:r>
              <w:t xml:space="preserve">19.5 GB</w:t>
            </w:r>
          </w:p>
        </w:tc>
      </w:tr>
      <w:tr>
        <w:tc>
          <w:tcPr/>
          <w:p>
            <w:pPr>
              <w:pStyle w:val="Compact"/>
            </w:pPr>
            <w:r>
              <w:t xml:space="preserve">cellmapper_linear</w:t>
            </w:r>
          </w:p>
        </w:tc>
        <w:tc>
          <w:tcPr/>
          <w:p>
            <w:pPr>
              <w:pStyle w:val="Compact"/>
            </w:pPr>
            <w:r>
              <w:t xml:space="preserve">0.776</w:t>
            </w:r>
          </w:p>
        </w:tc>
        <w:tc>
          <w:tcPr/>
          <w:p>
            <w:pPr>
              <w:pStyle w:val="Compact"/>
            </w:pPr>
            <w:r>
              <w:t xml:space="preserve">0.553</w:t>
            </w:r>
          </w:p>
        </w:tc>
        <w:tc>
          <w:tcPr/>
          <w:p>
            <w:pPr>
              <w:pStyle w:val="Compact"/>
            </w:pPr>
            <w:r>
              <w:t xml:space="preserve">58 s</w:t>
            </w:r>
          </w:p>
        </w:tc>
        <w:tc>
          <w:tcPr/>
          <w:p>
            <w:pPr>
              <w:pStyle w:val="Compact"/>
            </w:pPr>
            <w:r>
              <w:t xml:space="preserve">31.5 GB</w:t>
            </w:r>
          </w:p>
        </w:tc>
      </w:tr>
      <w:tr>
        <w:tc>
          <w:tcPr/>
          <w:p>
            <w:pPr>
              <w:pStyle w:val="Compact"/>
            </w:pPr>
            <w:r>
              <w:t xml:space="preserve">naive_bayes</w:t>
            </w:r>
          </w:p>
        </w:tc>
        <w:tc>
          <w:tcPr/>
          <w:p>
            <w:pPr>
              <w:pStyle w:val="Compact"/>
            </w:pPr>
            <w:r>
              <w:t xml:space="preserve">0.738</w:t>
            </w:r>
          </w:p>
        </w:tc>
        <w:tc>
          <w:tcPr/>
          <w:p>
            <w:pPr>
              <w:pStyle w:val="Compact"/>
            </w:pPr>
            <w:r>
              <w:t xml:space="preserve">0.613</w:t>
            </w:r>
          </w:p>
        </w:tc>
        <w:tc>
          <w:tcPr/>
          <w:p>
            <w:pPr>
              <w:pStyle w:val="Compact"/>
            </w:pPr>
            <w:r>
              <w:t xml:space="preserve">31 s</w:t>
            </w:r>
          </w:p>
        </w:tc>
        <w:tc>
          <w:tcPr/>
          <w:p>
            <w:pPr>
              <w:pStyle w:val="Compact"/>
            </w:pPr>
            <w:r>
              <w:t xml:space="preserve">19.5 GB</w:t>
            </w:r>
          </w:p>
        </w:tc>
      </w:tr>
    </w:tbl>
    <w:p>
      <w:pPr>
        <w:pStyle w:val="BodyText"/>
      </w:pPr>
      <w:r>
        <w:rPr>
          <w:b/>
          <w:bCs/>
        </w:rPr>
        <w:t xml:space="preserve">Table 10.</w:t>
      </w:r>
      <w:r>
        <w:t xml:space="preserve"> </w:t>
      </w:r>
      <w:r>
        <w:t xml:space="preserve">Open Problems methods re-run on a single AWS</w:t>
      </w:r>
      <w:r>
        <w:t xml:space="preserve"> </w:t>
      </w:r>
      <w:r>
        <w:rPr>
          <w:rStyle w:val="VerbatimChar"/>
        </w:rPr>
        <w:t xml:space="preserve">r7i.8xlarge</w:t>
      </w:r>
      <w:r>
        <w:t xml:space="preserve"> </w:t>
      </w:r>
      <w:r>
        <w:t xml:space="preserve">— identical hardware,</w:t>
      </w:r>
      <w:r>
        <w:t xml:space="preserve"> </w:t>
      </w:r>
      <w:r>
        <w:t xml:space="preserve">harness, storage, and trace instrumentation for every method — averaged over the benchmark’s</w:t>
      </w:r>
      <w:r>
        <w:t xml:space="preserve"> </w:t>
      </w:r>
      <w:r>
        <w:t xml:space="preserve">datasets, ordered by accuracy as in Table 3.</w:t>
      </w:r>
    </w:p>
    <w:p>
      <w:pPr>
        <w:pStyle w:val="BodyText"/>
      </w:pPr>
      <w:r>
        <w:t xml:space="preserve">actinn-jax</w:t>
      </w:r>
      <w:r>
        <w:t xml:space="preserve"> </w:t>
      </w:r>
      <w:r>
        <w:rPr>
          <w:b/>
          <w:bCs/>
        </w:rPr>
        <w:t xml:space="preserve">ties its</w:t>
      </w:r>
      <w:r>
        <w:rPr>
          <w:b/>
          <w:bCs/>
        </w:rPr>
        <w:t xml:space="preserve"> </w:t>
      </w:r>
      <w:r>
        <w:rPr>
          <w:rStyle w:val="VerbatimChar"/>
          <w:b/>
          <w:bCs/>
        </w:rPr>
        <w:t xml:space="preserve">mlp</w:t>
      </w:r>
      <w:r>
        <w:rPr>
          <w:b/>
          <w:bCs/>
        </w:rPr>
        <w:t xml:space="preserve"> </w:t>
      </w:r>
      <w:r>
        <w:rPr>
          <w:b/>
          <w:bCs/>
        </w:rPr>
        <w:t xml:space="preserve">sibling on accuracy at ~2× the speed</w:t>
      </w:r>
      <w:r>
        <w:t xml:space="preserve"> </w:t>
      </w:r>
      <w:r>
        <w:t xml:space="preserve">(165 vs 327 s) and</w:t>
      </w:r>
      <w:r>
        <w:t xml:space="preserve"> </w:t>
      </w:r>
      <w:r>
        <w:rPr>
          <w:b/>
          <w:bCs/>
        </w:rPr>
        <w:t xml:space="preserve">beats xgboost’s accuracy at ~5.5× less runtime and ~4× less memory</w:t>
      </w:r>
      <w:r>
        <w:t xml:space="preserve"> </w:t>
      </w:r>
      <w:r>
        <w:t xml:space="preserve">(165 s / 21 GB vs</w:t>
      </w:r>
      <w:r>
        <w:t xml:space="preserve"> </w:t>
      </w:r>
      <w:r>
        <w:t xml:space="preserve">905 s / 81 GB). The faster methods (knn, logistic) are less accurate; the more accurate</w:t>
      </w:r>
      <w:r>
        <w:t xml:space="preserve"> </w:t>
      </w:r>
      <w:r>
        <w:t xml:space="preserve">heavyweight (xgboost) is far slower and heavier:</w:t>
      </w:r>
      <w:r>
        <w:t xml:space="preserve"> </w:t>
      </w:r>
      <w:r>
        <w:rPr>
          <w:b/>
          <w:bCs/>
        </w:rPr>
        <w:t xml:space="preserve">within Open Problems’ method set</w:t>
      </w:r>
      <w:r>
        <w:t xml:space="preserve">, on</w:t>
      </w:r>
      <w:r>
        <w:t xml:space="preserve"> </w:t>
      </w:r>
      <w:r>
        <w:t xml:space="preserve">controlled hardware, nothing beats actinn-jax on accuracy and cost at the same time. That set contains no carefully-tuned linear</w:t>
      </w:r>
      <w:r>
        <w:t xml:space="preserve"> </w:t>
      </w:r>
      <w:r>
        <w:t xml:space="preserve">pipeline; we added one and ran it on the same six datasets, and it does not change the</w:t>
      </w:r>
      <w:r>
        <w:t xml:space="preserve"> </w:t>
      </w:r>
      <w:r>
        <w:t xml:space="preserve">ranking (Table 11).</w:t>
      </w:r>
    </w:p>
    <w:p>
      <w:pPr>
        <w:pStyle w:val="BodyText"/>
      </w:pPr>
      <w:r>
        <w:rPr>
          <w:b/>
          <w:bCs/>
        </w:rPr>
        <w:t xml:space="preserve">All eleven methods, one run.</w:t>
      </w:r>
      <w:r>
        <w:t xml:space="preserve"> </w:t>
      </w:r>
      <w:r>
        <w:t xml:space="preserve">We ported the tuned linear pipeline, the SGD-SVM,</w:t>
      </w:r>
      <w:r>
        <w:t xml:space="preserve"> </w:t>
      </w:r>
      <w:r>
        <w:t xml:space="preserve">CellTypist and scTOP into Open Problems components and then re-ran</w:t>
      </w:r>
      <w:r>
        <w:t xml:space="preserve"> </w:t>
      </w:r>
      <w:r>
        <w:rPr>
          <w:b/>
          <w:bCs/>
        </w:rPr>
        <w:t xml:space="preserve">every</w:t>
      </w:r>
      <w:r>
        <w:t xml:space="preserve"> </w:t>
      </w:r>
      <w:r>
        <w:t xml:space="preserve">method — OP’s</w:t>
      </w:r>
      <w:r>
        <w:t xml:space="preserve"> </w:t>
      </w:r>
      <w:r>
        <w:t xml:space="preserve">seven and our four — through one execution of OP’s pipeline on a single</w:t>
      </w:r>
      <w:r>
        <w:t xml:space="preserve"> </w:t>
      </w:r>
      <w:r>
        <w:rPr>
          <w:rStyle w:val="VerbatimChar"/>
        </w:rPr>
        <w:t xml:space="preserve">r7i.8xlarge</w:t>
      </w:r>
      <w:r>
        <w:t xml:space="preserve">, so</w:t>
      </w:r>
      <w:r>
        <w:t xml:space="preserve"> </w:t>
      </w:r>
      <w:r>
        <w:t xml:space="preserve">the accuracy column below comes from one harness, one box and one invocation</w:t>
      </w:r>
      <w:r>
        <w:t xml:space="preserve"> </w:t>
      </w:r>
      <w:r>
        <w:t xml:space="preserve">(per-run numbers in the</w:t>
      </w:r>
      <w:r>
        <w:t xml:space="preserve"> </w:t>
      </w:r>
      <w:hyperlink r:id="rId33">
        <w:r>
          <w:rPr>
            <w:rStyle w:val="Hyperlink"/>
          </w:rPr>
          <w:t xml:space="preserve">benchmark repository</w:t>
        </w:r>
      </w:hyperlink>
      <w:r>
        <w:t xml:space="preserve">). It reproduces what came before: the</w:t>
      </w:r>
      <w:r>
        <w:t xml:space="preserve"> </w:t>
      </w:r>
      <w:r>
        <w:t xml:space="preserve">four OP methods that are not retrained here return</w:t>
      </w:r>
      <w:r>
        <w:t xml:space="preserve"> </w:t>
      </w:r>
      <w:r>
        <w:rPr>
          <w:b/>
          <w:bCs/>
        </w:rPr>
        <w:t xml:space="preserve">identical</w:t>
      </w:r>
      <w:r>
        <w:t xml:space="preserve"> </w:t>
      </w:r>
      <w:r>
        <w:t xml:space="preserve">means to Table 10 (knn</w:t>
      </w:r>
      <w:r>
        <w:t xml:space="preserve"> </w:t>
      </w:r>
      <w:r>
        <w:t xml:space="preserve">0.793, logistic_regression 0.813, cellmapper_linear 0.776, naive_bayes 0.738), and the four</w:t>
      </w:r>
      <w:r>
        <w:t xml:space="preserve"> </w:t>
      </w:r>
      <w:r>
        <w:t xml:space="preserve">we added match separate local runs to within 0.001.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jc w:val="right"/>
            </w:pPr>
            <w:r>
              <w:t xml:space="preserve">mean acc</w:t>
            </w:r>
          </w:p>
        </w:tc>
        <w:tc>
          <w:tcPr/>
          <w:p>
            <w:pPr>
              <w:pStyle w:val="Compact"/>
              <w:jc w:val="right"/>
            </w:pPr>
            <w:r>
              <w:t xml:space="preserve">macro-F1</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r>
    </w:tbl>
    <w:p>
      <w:pPr>
        <w:pStyle w:val="BodyText"/>
      </w:pPr>
      <w:r>
        <w:rPr>
          <w:b/>
          <w:bCs/>
        </w:rPr>
        <w:t xml:space="preserve">Table 11.</w:t>
      </w:r>
      <w:r>
        <w:t xml:space="preserve"> </w:t>
      </w:r>
      <w:r>
        <w:t xml:space="preserve">All eleven methods on all six Open Problems datasets, from a single run of</w:t>
      </w:r>
      <w:r>
        <w:t xml:space="preserve"> </w:t>
      </w:r>
      <w:r>
        <w:t xml:space="preserve">OP’s pipeline on one</w:t>
      </w:r>
      <w:r>
        <w:t xml:space="preserve"> </w:t>
      </w:r>
      <w:r>
        <w:rPr>
          <w:rStyle w:val="VerbatimChar"/>
        </w:rPr>
        <w:t xml:space="preserve">r7i.8xlarge</w:t>
      </w:r>
      <w:r>
        <w:t xml:space="preserve">, ordered by accuracy. Bold marks the four components we</w:t>
      </w:r>
      <w:r>
        <w:t xml:space="preserve"> </w:t>
      </w:r>
      <w:r>
        <w:t xml:space="preserve">added. Means over six datasets; per-dataset scores are in the benchmark repository. Cost is</w:t>
      </w:r>
      <w:r>
        <w:t xml:space="preserve"> </w:t>
      </w:r>
      <w:r>
        <w:t xml:space="preserve">not reported here — see below.</w:t>
      </w:r>
    </w:p>
    <w:p>
      <w:pPr>
        <w:pStyle w:val="BodyText"/>
      </w:pPr>
      <w:r>
        <w:rPr>
          <w:b/>
          <w:bCs/>
        </w:rPr>
        <w:t xml:space="preserve">The tuned linear pipeline does not repeat its §3.1 win here</w:t>
      </w:r>
      <w:r>
        <w:t xml:space="preserve">: 0.828 places it third,</w:t>
      </w:r>
      <w:r>
        <w:t xml:space="preserve"> </w:t>
      </w:r>
      <w:r>
        <w:t xml:space="preserve">behind</w:t>
      </w:r>
      <w:r>
        <w:t xml:space="preserve"> </w:t>
      </w:r>
      <w:r>
        <w:rPr>
          <w:rStyle w:val="VerbatimChar"/>
        </w:rPr>
        <w:t xml:space="preserve">mlp</w:t>
      </w:r>
      <w:r>
        <w:t xml:space="preserve"> </w:t>
      </w:r>
      <w:r>
        <w:t xml:space="preserve">(0.843) and actinn-jax (0.836) and ahead of OP’s own</w:t>
      </w:r>
      <w:r>
        <w:t xml:space="preserve"> </w:t>
      </w:r>
      <w:r>
        <w:rPr>
          <w:rStyle w:val="VerbatimChar"/>
        </w:rPr>
        <w:t xml:space="preserve">logistic_regression</w:t>
      </w:r>
      <w:r>
        <w:t xml:space="preserve"> </w:t>
      </w:r>
      <w:r>
        <w:t xml:space="preserve">(0.813). The SGD-SVM (0.816) and CellTypist (0.810) land in the same band. The linear</w:t>
      </w:r>
      <w:r>
        <w:t xml:space="preserve"> </w:t>
      </w:r>
      <w:r>
        <w:t xml:space="preserve">pipeline’s lead on our own panel (§3.1) therefore does not generalize: whichever panel is</w:t>
      </w:r>
      <w:r>
        <w:t xml:space="preserve"> </w:t>
      </w:r>
      <w:r>
        <w:t xml:space="preserve">asked, the answer is a cluster of methods within a couple of points of each other, but which</w:t>
      </w:r>
      <w:r>
        <w:t xml:space="preserve"> </w:t>
      </w:r>
      <w:r>
        <w:t xml:space="preserve">one tops the cluster changes with the datasets. Note also that</w:t>
      </w:r>
      <w:r>
        <w:t xml:space="preserve"> </w:t>
      </w:r>
      <w:r>
        <w:rPr>
          <w:rStyle w:val="VerbatimChar"/>
        </w:rPr>
        <w:t xml:space="preserve">logistic_regression</w:t>
      </w:r>
      <w:r>
        <w:t xml:space="preserve"> </w:t>
      </w:r>
      <w:r>
        <w:t xml:space="preserve">takes</w:t>
      </w:r>
      <w:r>
        <w:t xml:space="preserve"> </w:t>
      </w:r>
      <w:r>
        <w:t xml:space="preserve">macro-F1 (0.689) while sitting fifth on accuracy — across six datasets whose cell-type counts</w:t>
      </w:r>
      <w:r>
        <w:t xml:space="preserve"> </w:t>
      </w:r>
      <w:r>
        <w:t xml:space="preserve">span 13 to 160, the two metrics do not order the panel the same way.</w:t>
      </w:r>
    </w:p>
    <w:p>
      <w:pPr>
        <w:pStyle w:val="BodyText"/>
      </w:pPr>
      <w:r>
        <w:rPr>
          <w:b/>
          <w:bCs/>
        </w:rPr>
        <w:t xml:space="preserve">Cost is reported only from the run in Table 10.</w:t>
      </w:r>
      <w:r>
        <w:t xml:space="preserve"> </w:t>
      </w:r>
      <w:r>
        <w:t xml:space="preserve">This eleven-method run executed on a</w:t>
      </w:r>
      <w:r>
        <w:t xml:space="preserve"> </w:t>
      </w:r>
      <w:r>
        <w:t xml:space="preserve">volume restored from a snapshot, and EBS fetches such a volume’s blocks from S3 on first</w:t>
      </w:r>
      <w:r>
        <w:t xml:space="preserve"> </w:t>
      </w:r>
      <w:r>
        <w:t xml:space="preserve">access: tasks reading the larger atlases recorded 30–60 minutes at</w:t>
      </w:r>
      <w:r>
        <w:t xml:space="preserve"> </w:t>
      </w:r>
      <w:r>
        <w:rPr>
          <w:b/>
          <w:bCs/>
        </w:rPr>
        <w:t xml:space="preserve">0.5–1% CPU</w:t>
      </w:r>
      <w:r>
        <w:t xml:space="preserve">, which</w:t>
      </w:r>
      <w:r>
        <w:t xml:space="preserve"> </w:t>
      </w:r>
      <w:r>
        <w:t xml:space="preserve">measures that first-touch fetch rather than the method. Accuracy is unaffected — same</w:t>
      </w:r>
      <w:r>
        <w:t xml:space="preserve"> </w:t>
      </w:r>
      <w:r>
        <w:t xml:space="preserve">computation, same inputs, and it reproduces Table 10 exactly where the two overlap — but the</w:t>
      </w:r>
      <w:r>
        <w:t xml:space="preserve"> </w:t>
      </w:r>
      <w:r>
        <w:t xml:space="preserve">wall-clock from this run is not a cost measurement and is not used as one.</w:t>
      </w:r>
    </w:p>
    <w:p>
      <w:pPr>
        <w:pStyle w:val="BodyText"/>
      </w:pPr>
      <w:r>
        <w:rPr>
          <w:b/>
          <w:bCs/>
        </w:rPr>
        <w:t xml:space="preserve">scTOP fails on two of the six.</w:t>
      </w:r>
      <w:r>
        <w:t xml:space="preserve"> </w:t>
      </w:r>
      <w:r>
        <w:t xml:space="preserve">Its mean (0.581) is not a</w:t>
      </w:r>
      <w:r>
        <w:t xml:space="preserve"> </w:t>
      </w:r>
      <w:r>
        <w:t xml:space="preserve">uniformly weak result but two collapses inside four ordinary ones: 0.124 on gtex_v9 and</w:t>
      </w:r>
      <w:r>
        <w:t xml:space="preserve"> </w:t>
      </w:r>
      <w:r>
        <w:t xml:space="preserve">0.042 on tabula_sapiens against 0.90–0.99 elsewhere. Open Problems hands every method 1,000</w:t>
      </w:r>
      <w:r>
        <w:t xml:space="preserve"> </w:t>
      </w:r>
      <w:r>
        <w:t xml:space="preserve">HVGs, and scTOP’s rank projection needs genes expressed in an appreciable fraction of cells;</w:t>
      </w:r>
      <w:r>
        <w:t xml:space="preserve"> </w:t>
      </w:r>
      <w:r>
        <w:t xml:space="preserve">after its expression filter only</w:t>
      </w:r>
      <w:r>
        <w:t xml:space="preserve"> </w:t>
      </w:r>
      <w:r>
        <w:rPr>
          <w:b/>
          <w:bCs/>
        </w:rPr>
        <w:t xml:space="preserve">106 of 1,000</w:t>
      </w:r>
      <w:r>
        <w:t xml:space="preserve"> </w:t>
      </w:r>
      <w:r>
        <w:t xml:space="preserve">genes survive on gtex_v9 and 210 on</w:t>
      </w:r>
      <w:r>
        <w:t xml:space="preserve"> </w:t>
      </w:r>
      <w:r>
        <w:t xml:space="preserve">tabula_sapiens, against 306–405 where it works. At that point some test cells retain no</w:t>
      </w:r>
      <w:r>
        <w:t xml:space="preserve"> </w:t>
      </w:r>
      <w:r>
        <w:t xml:space="preserve">counts at all — 185 of 11,508 on gtex_v9 — and cannot be placed; they are scored as wrong</w:t>
      </w:r>
      <w:r>
        <w:t xml:space="preserve"> </w:t>
      </w:r>
      <w:r>
        <w:t xml:space="preserve">rather than dropped, so 0.124 is a floor. This is the same limitation §3.1 reports from the</w:t>
      </w:r>
      <w:r>
        <w:t xml:space="preserve"> </w:t>
      </w:r>
      <w:r>
        <w:t xml:space="preserve">other direction: scTOP is built for small, low-cardinality problems, and a fixed 1,000-HVG</w:t>
      </w:r>
      <w:r>
        <w:t xml:space="preserve"> </w:t>
      </w:r>
      <w:r>
        <w:t xml:space="preserve">budget over 53 and 160 types is neither.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off by default</w:t>
      </w:r>
      <w:r>
        <w:t xml:space="preserve"> </w:t>
      </w:r>
      <w:r>
        <w:t xml:space="preserve">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(Figure 4). The budget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(Figure 5)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BodyText"/>
      </w:pPr>
      <w:r>
        <w:drawing>
          <wp:inline>
            <wp:extent cx="5334000" cy="2139510"/>
            <wp:effectExtent b="0" l="0" r="0" t="0"/>
            <wp:docPr descr="gene budget curve" title="" id="65" name="Picture"/>
            <a:graphic>
              <a:graphicData uri="http://schemas.openxmlformats.org/drawingml/2006/picture">
                <pic:pic>
                  <pic:nvPicPr>
                    <pic:cNvPr descr="/Users/iandriver/Downloads/actinn-jax-benchmark/docs/figures/gene_budget_curve.png" id="66" name="Picture"/>
                    <pic:cNvPicPr>
                      <a:picLocks noChangeArrowheads="1" noChangeAspect="1"/>
                    </pic:cNvPicPr>
                  </pic:nvPicPr>
                  <pic:blipFill>
                    <a:blip r:embed="rId64"/>
                    <a:stretch>
                      <a:fillRect/>
                    </a:stretch>
                  </pic:blipFill>
                  <pic:spPr bwMode="auto">
                    <a:xfrm>
                      <a:off x="0" y="0"/>
                      <a:ext cx="5334000" cy="2139510"/>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actinn-jax accuracy and macro-F1 against input gene budget across all six Open</w:t>
      </w:r>
      <w:r>
        <w:t xml:space="preserve"> </w:t>
      </w:r>
      <w:r>
        <w:t xml:space="preserve">Problems datasets. More genes help most datasets but regress the fine-grained,</w:t>
      </w:r>
      <w:r>
        <w:t xml:space="preserve"> </w:t>
      </w:r>
      <w:r>
        <w:t xml:space="preserve">domain-shifted tabula_sapiens.</w:t>
      </w:r>
    </w:p>
    <w:p>
      <w:pPr>
        <w:pStyle w:val="BodyText"/>
      </w:pPr>
      <w:r>
        <w:drawing>
          <wp:inline>
            <wp:extent cx="5334000" cy="2293972"/>
            <wp:effectExtent b="0" l="0" r="0" t="0"/>
            <wp:docPr descr="gene budget signals" title="" id="68" name="Picture"/>
            <a:graphic>
              <a:graphicData uri="http://schemas.openxmlformats.org/drawingml/2006/picture">
                <pic:pic>
                  <pic:nvPicPr>
                    <pic:cNvPr descr="/Users/iandriver/Downloads/actinn-jax-benchmark/docs/figures/gene_budget_signals.png" id="69" name="Picture"/>
                    <pic:cNvPicPr>
                      <a:picLocks noChangeArrowheads="1" noChangeAspect="1"/>
                    </pic:cNvPicPr>
                  </pic:nvPicPr>
                  <pic:blipFill>
                    <a:blip r:embed="rId67"/>
                    <a:stretch>
                      <a:fillRect/>
                    </a:stretch>
                  </pic:blipFill>
                  <pic:spPr bwMode="auto">
                    <a:xfrm>
                      <a:off x="0" y="0"/>
                      <a:ext cx="5334000" cy="2293972"/>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Label-free signals for setting the gene budget without test labels. Held-out</w:t>
      </w:r>
      <w:r>
        <w:t xml:space="preserve"> </w:t>
      </w:r>
      <w:r>
        <w:t xml:space="preserve">reference cross-validation and query-cells-per-class both single out tabula_sapiens, the one</w:t>
      </w:r>
      <w:r>
        <w:t xml:space="preserve"> </w:t>
      </w:r>
      <w:r>
        <w:t xml:space="preserve">dataset where more genes hurt.</w:t>
      </w:r>
    </w:p>
    <w:bookmarkEnd w:id="70"/>
    <w:bookmarkEnd w:id="71"/>
    <w:bookmarkStart w:id="73"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five leading methods are</w:t>
      </w:r>
      <w:r>
        <w:t xml:space="preserve"> </w:t>
      </w:r>
      <w:r>
        <w:t xml:space="preserve">separated by 0.008 in mean accuracy and by ~130× in inference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4.0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(2.1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large→refined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stage.</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actinn-jax trails on small references and very-few-cells-per-type</w:t>
      </w:r>
      <w:r>
        <w:t xml:space="preserve"> </w:t>
      </w:r>
      <w:r>
        <w:t xml:space="preserve">sets (§3.1, §5), and — a finding from the OP analysis — it is sensitive to input budget under</w:t>
      </w:r>
      <w:r>
        <w:t xml:space="preserve"> </w:t>
      </w:r>
      <w:r>
        <w:t xml:space="preserve">domain shift: more genes help most datasets but overfit a tiny, fine-grained, shifted query</w:t>
      </w:r>
      <w:r>
        <w:t xml:space="preserve"> </w:t>
      </w:r>
      <w:r>
        <w:t xml:space="preserve">(tabula_sapiens). The two cheapest levers are principled and label-free:</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w:t>
      </w:r>
      <w:r>
        <w:rPr>
          <w:b/>
          <w:bCs/>
        </w:rPr>
        <w:t xml:space="preserve"> </w:t>
      </w:r>
      <w:r>
        <w:rPr>
          <w:b/>
          <w:bCs/>
        </w:rPr>
        <w:t xml:space="preserve">cross-validation on the reference alone</w:t>
      </w:r>
      <w:r>
        <w:t xml:space="preserve"> </w:t>
      </w:r>
      <w:r>
        <w:t xml:space="preserve">both improve the model without peeking at test labels, and at a fair gene budget</w:t>
      </w:r>
      <w:r>
        <w:t xml:space="preserve"> </w:t>
      </w:r>
      <w:r>
        <w:t xml:space="preserve">the gene-space MLP</w:t>
      </w:r>
      <w:r>
        <w:t xml:space="preserve"> </w:t>
      </w:r>
      <w:r>
        <w:rPr>
          <w:i/>
          <w:iCs/>
        </w:rPr>
        <w:t xml:space="preserve">matches the leaderboard’s top method</w:t>
      </w:r>
      <w:r>
        <w:t xml:space="preserve"> </w:t>
      </w:r>
      <w:r>
        <w:t xml:space="preserve">on the datasets both complete —</w:t>
      </w:r>
      <w:r>
        <w:t xml:space="preserve"> </w:t>
      </w:r>
      <w:r>
        <w:t xml:space="preserve">In other words, much of what looked like a deficit of the</w:t>
      </w:r>
      <w:r>
        <w:t xml:space="preserve"> </w:t>
      </w:r>
      <w:r>
        <w:rPr>
          <w:i/>
          <w:iCs/>
        </w:rPr>
        <w:t xml:space="preserve">model</w:t>
      </w:r>
      <w:r>
        <w:t xml:space="preserve"> </w:t>
      </w:r>
      <w:r>
        <w:t xml:space="preserve">was a deficit of its</w:t>
      </w:r>
      <w:r>
        <w:t xml:space="preserve"> </w:t>
      </w:r>
      <w:r>
        <w:rPr>
          <w:b/>
          <w:bCs/>
        </w:rPr>
        <w:t xml:space="preserve">input</w:t>
      </w:r>
      <w:r>
        <w:t xml:space="preserve">: the benchmark hands every method 1,000 highly variable genes, which is a far</w:t>
      </w:r>
      <w:r>
        <w:t xml:space="preserve"> </w:t>
      </w:r>
      <w:r>
        <w:t xml:space="preserve">harsher constraint on a model reading gene space directly than on one that learns a</w:t>
      </w:r>
      <w:r>
        <w:t xml:space="preserve"> </w:t>
      </w:r>
      <w:r>
        <w:t xml:space="preserve">compressed representation first. Widen the gene panel and most of the gap closes — so the</w:t>
      </w:r>
      <w:r>
        <w:t xml:space="preserve"> </w:t>
      </w:r>
      <w:r>
        <w:t xml:space="preserve">quantity being measured was partly</w:t>
      </w:r>
      <w:r>
        <w:t xml:space="preserve"> </w:t>
      </w:r>
      <w:r>
        <w:t xml:space="preserve">“how well does each method tolerate a narrow input”</w:t>
      </w:r>
      <w:r>
        <w:t xml:space="preserve">,</w:t>
      </w:r>
      <w:r>
        <w:t xml:space="preserve"> </w:t>
      </w:r>
      <w:r>
        <w:t xml:space="preserve">not</w:t>
      </w:r>
      <w:r>
        <w:t xml:space="preserve"> </w:t>
      </w:r>
      <w:r>
        <w:t xml:space="preserve">“which model class is stronger”</w:t>
      </w:r>
      <w:r>
        <w:t xml:space="preserve">.</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a</w:t>
      </w:r>
      <w:r>
        <w:t xml:space="preserve"> </w:t>
      </w:r>
      <w:r>
        <w:t xml:space="preserve">7M-parameter supervised hierarchical MLP over a 5,055-gene panel yields cleaner annotations</w:t>
      </w:r>
      <w:r>
        <w:t xml:space="preserve"> </w:t>
      </w:r>
      <w:r>
        <w:t xml:space="preserve">than scGPT and SCimilarity, whose labels they find fragmented and 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w:t>
      </w:r>
      <w:r>
        <w:rPr>
          <w:rStyle w:val="VerbatimChar"/>
        </w:rPr>
        <w:t xml:space="preserve">PAN_HUMAN_AZIMUTH.md</w:t>
      </w:r>
      <w:r>
        <w:t xml:space="preserve">) are independent support, from a group with</w:t>
      </w:r>
      <w:r>
        <w:t xml:space="preserve"> </w:t>
      </w:r>
      <w:r>
        <w:t xml:space="preserve">no stake in our conclusion, for both halves of our reading.</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§5), at ~9× actinn-jax’s CPU fit time (146 vs 16 s mean)</w:t>
      </w:r>
      <w:r>
        <w:t xml:space="preserve"> </w:t>
      </w:r>
      <w:r>
        <w:t xml:space="preserve">(</w:t>
      </w:r>
      <w:r>
        <w:rPr>
          <w:rStyle w:val="VerbatimChar"/>
        </w:rPr>
        <w:t xml:space="preserve">PROTOCLOUD.md</w:t>
      </w:r>
      <w:r>
        <w:t xml:space="preserve">). 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w:t>
      </w:r>
      <w:r>
        <w:t xml:space="preserve"> </w:t>
      </w:r>
      <w:hyperlink r:id="rId72">
        <w:r>
          <w:rPr>
            <w:rStyle w:val="Hyperlink"/>
          </w:rPr>
          <w:t xml:space="preserve">Souza &amp; Mehta 2026</w:t>
        </w:r>
      </w:hyperlink>
      <w:r>
        <w:t xml:space="preserve"> </w:t>
      </w:r>
      <w:r>
        <w:t xml:space="preserve">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 on</w:t>
      </w:r>
      <w:r>
        <w:t xml:space="preserve"> </w:t>
      </w:r>
      <w:r>
        <w:t xml:space="preserve">Tabula Sapiens 2.0 their normalize→ANOVA→PCA→logistic-regression pipeline reaches mean</w:t>
      </w:r>
      <w:r>
        <w:t xml:space="preserve"> </w:t>
      </w:r>
      <w:r>
        <w:t xml:space="preserve">macro-F1 0.899 against 0.907–0.910 for TranscriptFormer variants — and they offer a geometric</w:t>
      </w:r>
      <w:r>
        <w:t xml:space="preserve"> </w:t>
      </w:r>
      <w:r>
        <w:t xml:space="preserve">explanation: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that degrades gradually on unfamiliar data still assigns</w:t>
      </w:r>
      <w:r>
        <w:t xml:space="preserve"> </w:t>
      </w:r>
      <w:r>
        <w:t xml:space="preserve">lower confidence to the cells it is getting wrong, so a threshold separates them; a method</w:t>
      </w:r>
      <w:r>
        <w:t xml:space="preserve"> </w:t>
      </w:r>
      <w:r>
        <w:t xml:space="preserve">that degrades abruptly can be confidently wrong, and no threshold helps.</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broad→refined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pass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w:t>
      </w:r>
      <w:r>
        <w:rPr>
          <w:rStyle w:val="VerbatimChar"/>
        </w:rPr>
        <w:t xml:space="preserve">PAN_HUMAN_AZIMUTH.md</w:t>
      </w:r>
      <w:r>
        <w:t xml:space="preserve">) 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roughly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most of these methods produce much the same labels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73"/>
    <w:bookmarkStart w:id="74"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The deep and foundation methods are written for CUDA and we would expect them to be</w:t>
      </w:r>
      <w:r>
        <w:t xml:space="preserve"> </w:t>
      </w:r>
      <w:r>
        <w:t xml:space="preserve">faster on it, but we did not measure that — it is outside the</w:t>
      </w:r>
      <w:r>
        <w:t xml:space="preserve"> </w:t>
      </w:r>
      <w:r>
        <w:t xml:space="preserve">“runs-on-a-laptop”</w:t>
      </w:r>
      <w:r>
        <w:t xml:space="preserve"> </w:t>
      </w:r>
      <w:r>
        <w:t xml:space="preserve">question,</w:t>
      </w:r>
      <w:r>
        <w:t xml:space="preserve"> </w:t>
      </w:r>
      <w:r>
        <w:t xml:space="preserve">and every timing here should be read as this hardware’s.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w:t>
      </w:r>
      <w:r>
        <w:t xml:space="preserve"> </w:t>
      </w:r>
      <w:r>
        <w:t xml:space="preserve">Measured</w:t>
      </w:r>
      <w:r>
        <w:t xml:space="preserve"> </w:t>
      </w:r>
      <w:r>
        <w:rPr>
          <w:rStyle w:val="VerbatimChar"/>
        </w:rPr>
        <w:t xml:space="preserve">%cpu</w:t>
      </w:r>
      <w:r>
        <w:t xml:space="preserve"> </w:t>
      </w:r>
      <w:r>
        <w:t xml:space="preserve">on the OP harness spans 49% to 2338% across methods — some are</w:t>
      </w:r>
      <w:r>
        <w:t xml:space="preserve"> </w:t>
      </w:r>
      <w:r>
        <w:t xml:space="preserve">single-threaded, some saturate 23 cores — so the same method timed at two concurrency</w:t>
      </w:r>
      <w:r>
        <w:t xml:space="preserve"> </w:t>
      </w:r>
      <w:r>
        <w:t xml:space="preserve">settings differs by up to 12×, and any wall-clock ranking taken at high concurrency</w:t>
      </w:r>
      <w:r>
        <w:t xml:space="preserve"> </w:t>
      </w:r>
      <w:r>
        <w:t xml:space="preserve">silently ranks threading and scheduler contention alongside algorithm. Accuracy for all</w:t>
      </w:r>
      <w:r>
        <w:t xml:space="preserve"> </w:t>
      </w:r>
      <w:r>
        <w:t xml:space="preserve">eleven methods comes from one run on one box (Table 11);</w:t>
      </w:r>
      <w:r>
        <w:t xml:space="preserve"> </w:t>
      </w:r>
      <w:r>
        <w:rPr>
          <w:b/>
          <w:bCs/>
        </w:rPr>
        <w:t xml:space="preserve">cost is measured for OP’s own</w:t>
      </w:r>
      <w:r>
        <w:rPr>
          <w:b/>
          <w:bCs/>
        </w:rPr>
        <w:t xml:space="preserve"> </w:t>
      </w:r>
      <w:r>
        <w:rPr>
          <w:b/>
          <w:bCs/>
        </w:rPr>
        <w:t xml:space="preserve">seven</w:t>
      </w:r>
      <w:r>
        <w:t xml:space="preserve"> </w:t>
      </w:r>
      <w:r>
        <w:t xml:space="preserve">(Table 10), the run whose concurrency and storage were controlled for that</w:t>
      </w:r>
      <w:r>
        <w:t xml:space="preserve"> </w:t>
      </w:r>
      <w:r>
        <w:t xml:space="preserve">purpose.</w:t>
      </w:r>
    </w:p>
    <w:p>
      <w:pPr>
        <w:pStyle w:val="Compact"/>
        <w:numPr>
          <w:ilvl w:val="0"/>
          <w:numId w:val="1007"/>
        </w:numPr>
      </w:pPr>
      <w:r>
        <w:t xml:space="preserve">Subsampled references (to keep the matrix tractable); the scaling section characterizes</w:t>
      </w:r>
      <w:r>
        <w:t xml:space="preserve"> </w:t>
      </w:r>
      <w:r>
        <w:t xml:space="preserve">the size dependence directly.</w:t>
      </w:r>
    </w:p>
    <w:p>
      <w:pPr>
        <w:pStyle w:val="Compact"/>
        <w:numPr>
          <w:ilvl w:val="0"/>
          <w:numId w:val="1007"/>
        </w:numPr>
      </w:pPr>
      <w:r>
        <w:rPr>
          <w:b/>
          <w:bCs/>
        </w:rPr>
        <w:t xml:space="preserve">The cross-method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behaviour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7× faster on this panel’s hardware (§2.5), with its largest margin</w:t>
      </w:r>
      <w:r>
        <w:t xml:space="preserve"> </w:t>
      </w:r>
      <w:r>
        <w:t xml:space="preserve">on the 86-type blood+gut set (+4.2 pt) (</w:t>
      </w:r>
      <w:r>
        <w:rPr>
          <w:rStyle w:val="VerbatimChar"/>
        </w:rPr>
        <w:t xml:space="preserve">SIMPLE_BASELINES.md</w:t>
      </w:r>
      <w:r>
        <w:t xml:space="preserve">).</w:t>
      </w:r>
      <w:r>
        <w:t xml:space="preserve"> </w:t>
      </w:r>
      <w:r>
        <w:t xml:space="preserve">Wall-clock ratios between a JAX model and a scikit-learn pipeline shift with the CPU and</w:t>
      </w:r>
      <w:r>
        <w:t xml:space="preserve"> </w:t>
      </w:r>
      <w:r>
        <w:t xml:space="preserve">the threading available, so read them as this machine’s, not as constants. The §3.1</w:t>
      </w:r>
      <w:r>
        <w:t xml:space="preserve"> </w:t>
      </w:r>
      <w:r>
        <w:t xml:space="preserve">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w:t>
      </w:r>
      <w:r>
        <w:t xml:space="preserve"> </w:t>
      </w:r>
      <w:r>
        <w:t xml:space="preserve">still to fit but competitive only at small, low cardinality — best pbmc macro-F1 (0.837),</w:t>
      </w:r>
      <w:r>
        <w:t xml:space="preserve"> </w:t>
      </w:r>
      <w:r>
        <w:t xml:space="preserve">degrading to 0.649 on liver.</w:t>
      </w:r>
    </w:p>
    <w:p>
      <w:pPr>
        <w:pStyle w:val="Compact"/>
        <w:numPr>
          <w:ilvl w:val="0"/>
          <w:numId w:val="1007"/>
        </w:numPr>
      </w:pPr>
      <w:r>
        <w:rPr>
          <w:b/>
          <w:bCs/>
        </w:rPr>
        <w:t xml:space="preserve">actinn-jax’s memory advantage is bounded, and the linear pipeline scales further than a</w:t>
      </w:r>
      <w:r>
        <w:rPr>
          <w:b/>
          <w:bCs/>
        </w:rPr>
        <w:t xml:space="preserve"> </w:t>
      </w:r>
      <w:r>
        <w:rPr>
          <w:b/>
          <w:bCs/>
        </w:rPr>
        <w:t xml:space="preserve">naive extrapolation implies</w:t>
      </w:r>
      <w:r>
        <w:t xml:space="preserve"> </w:t>
      </w:r>
      <w:r>
        <w:t xml:space="preserve">(</w:t>
      </w:r>
      <w:r>
        <w:rPr>
          <w:rStyle w:val="VerbatimChar"/>
        </w:rPr>
        <w:t xml:space="preserve">SCALING_MEMORY.md</w:t>
      </w:r>
      <w:r>
        <w:t xml:space="preserve">). Extrapolating the</w:t>
      </w:r>
      <w:r>
        <w:t xml:space="preserve"> </w:t>
      </w:r>
      <w:r>
        <w:t xml:space="preserve">linear pipeline’s small-reference footprint overstates its atlas-scale peak by ~2.4× — the</w:t>
      </w:r>
      <w:r>
        <w:t xml:space="preserve"> </w:t>
      </w:r>
      <w:r>
        <w:t xml:space="preserve">measured figure is</w:t>
      </w:r>
      <w:r>
        <w:t xml:space="preserve"> </w:t>
      </w:r>
      <w:r>
        <w:rPr>
          <w:b/>
          <w:bCs/>
        </w:rPr>
        <w:t xml:space="preserve">13.2 GB</w:t>
      </w:r>
      <w:r>
        <w:t xml:space="preserve"> </w:t>
      </w:r>
      <w:r>
        <w:t xml:space="preserve">at 49k reference cells — because its feature-selection step</w:t>
      </w:r>
      <w:r>
        <w:t xml:space="preserve"> </w:t>
      </w:r>
      <w:r>
        <w:t xml:space="preserve">caps the dense matrix at 20,000 genes rather than the full gene set. The linear/actinn-jax</w:t>
      </w:r>
      <w:r>
        <w:t xml:space="preserve"> </w:t>
      </w:r>
      <w:r>
        <w:t xml:space="preserve">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in this setting should be measured, not extrapolated.</w:t>
      </w:r>
    </w:p>
    <w:p>
      <w:pPr>
        <w:pStyle w:val="Compact"/>
        <w:numPr>
          <w:ilvl w:val="0"/>
          <w:numId w:val="1007"/>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0.907),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74"/>
    <w:bookmarkStart w:id="80" w:name="data-code-availability"/>
    <w:p>
      <w:pPr>
        <w:pStyle w:val="Heading1"/>
      </w:pPr>
      <w:r>
        <w:t xml:space="preserve">Data &amp; code availability</w:t>
      </w:r>
    </w:p>
    <w:p>
      <w:pPr>
        <w:pStyle w:val="FirstParagraph"/>
      </w:pPr>
      <w:r>
        <w:t xml:space="preserve">Two repositories hold everything needed to reproduce this work. The</w:t>
      </w:r>
      <w:r>
        <w:t xml:space="preserve"> </w:t>
      </w:r>
      <w:hyperlink r:id="rId33">
        <w:r>
          <w:rPr>
            <w:rStyle w:val="Hyperlink"/>
            <w:b/>
            <w:bCs/>
          </w:rPr>
          <w:t xml:space="preserve">benchmark repository</w:t>
        </w:r>
      </w:hyperlink>
      <w:r>
        <w:t xml:space="preserve"> </w:t>
      </w:r>
      <w:r>
        <w:t xml:space="preserve">carries the harness, the per-method adapters, the run</w:t>
      </w:r>
      <w:r>
        <w:t xml:space="preserve"> </w:t>
      </w:r>
      <w:r>
        <w:t xml:space="preserve">configurations that produce every number reported here, the environment lockfiles, the</w:t>
      </w:r>
      <w:r>
        <w:t xml:space="preserve"> </w:t>
      </w:r>
      <w:r>
        <w:t xml:space="preserve">result tables including the unified eleven-method matrix, and the figure scripts. The</w:t>
      </w:r>
      <w:r>
        <w:t xml:space="preserve"> </w:t>
      </w:r>
      <w:hyperlink r:id="rId75">
        <w:r>
          <w:rPr>
            <w:rStyle w:val="Hyperlink"/>
            <w:b/>
            <w:bCs/>
          </w:rPr>
          <w:t xml:space="preserve">actinn-jax package</w:t>
        </w:r>
      </w:hyperlink>
      <w:r>
        <w:t xml:space="preserve"> </w:t>
      </w:r>
      <w:r>
        <w:t xml:space="preserve">is on PyPI</w:t>
      </w:r>
      <w:r>
        <w:t xml:space="preserve"> </w:t>
      </w:r>
      <w:r>
        <w:t xml:space="preserve">(</w:t>
      </w:r>
      <w:r>
        <w:rPr>
          <w:rStyle w:val="VerbatimChar"/>
        </w:rPr>
        <w:t xml:space="preserve">pip install actinn-jax</w:t>
      </w:r>
      <w:r>
        <w:t xml:space="preserve">). Rebuilding the shipped broad reference is a single documented</w:t>
      </w:r>
      <w:r>
        <w:t xml:space="preserve"> </w:t>
      </w:r>
      <w:r>
        <w:t xml:space="preserve">command; the distilled broad-pass reference, the pan-mouse reference and the Cell-Ontology</w:t>
      </w:r>
      <w:r>
        <w:t xml:space="preserve"> </w:t>
      </w:r>
      <w:r>
        <w:t xml:space="preserve">hierarchy it depends on each have their own build documentation in the benchmark</w:t>
      </w:r>
      <w:r>
        <w:t xml:space="preserve"> </w:t>
      </w:r>
      <w:r>
        <w:t xml:space="preserve">repository, and the file-level detail lives there rather than here.</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76">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77">
        <w:r>
          <w:rPr>
            <w:rStyle w:val="Hyperlink"/>
          </w:rPr>
          <w:t xml:space="preserve">10.5281/zenodo.21688150</w:t>
        </w:r>
      </w:hyperlink>
      <w:r>
        <w:t xml:space="preserve"> </w:t>
      </w:r>
      <w:r>
        <w:t xml:space="preserve">for the</w:t>
      </w:r>
      <w:r>
        <w:t xml:space="preserve"> </w:t>
      </w:r>
      <w:r>
        <w:t xml:space="preserve">latest version). The package downloads and caches them on first use, so no manual</w:t>
      </w:r>
      <w:r>
        <w:t xml:space="preserve"> </w:t>
      </w:r>
      <w:r>
        <w:t xml:space="preserve">retrieval is needed, and can pre-download them for offline use.</w:t>
      </w:r>
    </w:p>
    <w:p>
      <w:pPr>
        <w:pStyle w:val="BodyText"/>
      </w:pPr>
      <w:r>
        <w:t xml:space="preserve">HLiCA data © Edgar et al. 2026 (CC-BY 4.0),</w:t>
      </w:r>
      <w:r>
        <w:t xml:space="preserve"> </w:t>
      </w:r>
      <w:hyperlink r:id="rId29">
        <w:r>
          <w:rPr>
            <w:rStyle w:val="Hyperlink"/>
          </w:rPr>
          <w:t xml:space="preserve">doi:10.64898/2026.06.30.735539</w:t>
        </w:r>
      </w:hyperlink>
      <w:r>
        <w:t xml:space="preserve">.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25">
        <w:r>
          <w:rPr>
            <w:rStyle w:val="Hyperlink"/>
          </w:rPr>
          <w:t xml:space="preserve">doi:10.64898/2026.07.16.738997</w:t>
        </w:r>
      </w:hyperlink>
      <w:r>
        <w:t xml:space="preserve">); its weights are</w:t>
      </w:r>
      <w:r>
        <w:t xml:space="preserve"> </w:t>
      </w:r>
      <w:r>
        <w:t xml:space="preserve">© the authors under</w:t>
      </w:r>
      <w:r>
        <w:t xml:space="preserve"> </w:t>
      </w:r>
      <w:hyperlink r:id="rId78">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79">
        <w:r>
          <w:rPr>
            <w:rStyle w:val="Hyperlink"/>
          </w:rPr>
          <w:t xml:space="preserve">Zenodo</w:t>
        </w:r>
      </w:hyperlink>
      <w:r>
        <w:t xml:space="preserve">. Attribution is a</w:t>
      </w:r>
      <w:r>
        <w:t xml:space="preserve"> </w:t>
      </w:r>
      <w:r>
        <w:t xml:space="preserve">condition of that licence and travels inside each shipped model’s build record.</w:t>
      </w:r>
    </w:p>
    <w:bookmarkEnd w:id="80"/>
    <w:bookmarkStart w:id="81"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1">
        <w:r>
          <w:rPr>
            <w:rStyle w:val="Hyperlink"/>
          </w:rPr>
          <w:t xml:space="preserve">10xgenomics.com/datasets/3-k-pbm-cs-from-a-healthy-donor-1-standard-1-1-0</w:t>
        </w:r>
      </w:hyperlink>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9">
        <w:r>
          <w:rPr>
            <w:rStyle w:val="Hyperlink"/>
          </w:rPr>
          <w:t xml:space="preserve">doi:10.1186/s13059-019-1795-z</w:t>
        </w:r>
      </w:hyperlink>
      <w:r>
        <w:t xml:space="preserve">.</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0">
        <w:r>
          <w:rPr>
            <w:rStyle w:val="Hyperlink"/>
          </w:rPr>
          <w:t xml:space="preserve">doi:10.1038/s41586-026-10627-z</w:t>
        </w:r>
      </w:hyperlink>
      <w:r>
        <w:t xml:space="preserve">.</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19">
        <w:r>
          <w:rPr>
            <w:rStyle w:val="Hyperlink"/>
          </w:rPr>
          <w:t xml:space="preserve">doi:10.1038/s41590-018-0276-y</w:t>
        </w:r>
      </w:hyperlink>
      <w:r>
        <w:t xml:space="preserve">.</w:t>
      </w:r>
    </w:p>
    <w:p>
      <w:pPr>
        <w:pStyle w:val="Compact"/>
        <w:numPr>
          <w:ilvl w:val="0"/>
          <w:numId w:val="1008"/>
        </w:numPr>
      </w:pPr>
      <w:r>
        <w:t xml:space="preserve">Bradbury J, et al. JAX: composable transformations of Python+NumPy programs (2018).</w:t>
      </w:r>
      <w:r>
        <w:t xml:space="preserve"> </w:t>
      </w:r>
      <w:hyperlink r:id="rId14">
        <w:r>
          <w:rPr>
            <w:rStyle w:val="Hyperlink"/>
          </w:rPr>
          <w:t xml:space="preserve">github.com/jax-ml/jax</w:t>
        </w:r>
      </w:hyperlink>
      <w:r>
        <w:t xml:space="preserve">.</w:t>
      </w:r>
    </w:p>
    <w:p>
      <w:pPr>
        <w:pStyle w:val="Compact"/>
        <w:numPr>
          <w:ilvl w:val="0"/>
          <w:numId w:val="1008"/>
        </w:numPr>
      </w:pPr>
      <w:r>
        <w:t xml:space="preserve">CZI Cell Science Program. CZ CELLxGENE Discover Census, LTS release 2025-11-08.</w:t>
      </w:r>
      <w:r>
        <w:t xml:space="preserve"> </w:t>
      </w:r>
      <w:hyperlink r:id="rId36">
        <w:r>
          <w:rPr>
            <w:rStyle w:val="Hyperlink"/>
          </w:rPr>
          <w:t xml:space="preserve">chanzuckerberg.github.io/cellxgene-census</w:t>
        </w:r>
      </w:hyperlink>
      <w:r>
        <w:t xml:space="preserve">.</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63">
        <w:r>
          <w:rPr>
            <w:rStyle w:val="Hyperlink"/>
          </w:rPr>
          <w:t xml:space="preserve">doi:10.1145/2939672.2939785</w:t>
        </w:r>
      </w:hyperlink>
      <w:r>
        <w:t xml:space="preserve">.</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17">
        <w:r>
          <w:rPr>
            <w:rStyle w:val="Hyperlink"/>
          </w:rPr>
          <w:t xml:space="preserve">doi:10.1126/science.abl5197</w:t>
        </w:r>
      </w:hyperlink>
      <w:r>
        <w:t xml:space="preserve">.</w:t>
      </w:r>
    </w:p>
    <w:p>
      <w:pPr>
        <w:pStyle w:val="Compact"/>
        <w:numPr>
          <w:ilvl w:val="0"/>
          <w:numId w:val="1008"/>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29">
        <w:r>
          <w:rPr>
            <w:rStyle w:val="Hyperlink"/>
          </w:rPr>
          <w:t xml:space="preserve">doi:10.64898/2026.06.30.735539</w:t>
        </w:r>
      </w:hyperlink>
      <w:r>
        <w:t xml:space="preserve">.</w:t>
      </w:r>
    </w:p>
    <w:p>
      <w:pPr>
        <w:pStyle w:val="Compact"/>
        <w:numPr>
          <w:ilvl w:val="0"/>
          <w:numId w:val="1008"/>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10">
        <w:r>
          <w:rPr>
            <w:rStyle w:val="Hyperlink"/>
          </w:rPr>
          <w:t xml:space="preserve">doi:10.1093/bib/bbae392</w:t>
        </w:r>
      </w:hyperlink>
      <w:r>
        <w:t xml:space="preserve">.</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23">
        <w:r>
          <w:rPr>
            <w:rStyle w:val="Hyperlink"/>
          </w:rPr>
          <w:t xml:space="preserve">doi:10.1016/j.xgen.2026.101217</w:t>
        </w:r>
      </w:hyperlink>
      <w:r>
        <w:t xml:space="preserve">.</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24">
        <w:r>
          <w:rPr>
            <w:rStyle w:val="Hyperlink"/>
          </w:rPr>
          <w:t xml:space="preserve">doi:10.1038/s41467-025-58699-1</w:t>
        </w:r>
      </w:hyperlink>
      <w:r>
        <w:t xml:space="preserve">.</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20">
        <w:r>
          <w:rPr>
            <w:rStyle w:val="Hyperlink"/>
          </w:rPr>
          <w:t xml:space="preserve">doi:10.1038/nmeth.4644</w:t>
        </w:r>
      </w:hyperlink>
      <w:r>
        <w:t xml:space="preserve">.</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22">
        <w:r>
          <w:rPr>
            <w:rStyle w:val="Hyperlink"/>
          </w:rPr>
          <w:t xml:space="preserve">doi:10.1038/s41587-021-01001-7</w:t>
        </w:r>
      </w:hyperlink>
      <w:r>
        <w:t xml:space="preserve">.</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8"/>
        </w:numPr>
      </w:pPr>
      <w:r>
        <w:t xml:space="preserve">Open Problems for Single-Cell Analysis Consortium. Open Problems: a living benchmark for single-cell analysis (2024).</w:t>
      </w:r>
      <w:r>
        <w:t xml:space="preserve"> </w:t>
      </w:r>
      <w:hyperlink r:id="rId41">
        <w:r>
          <w:rPr>
            <w:rStyle w:val="Hyperlink"/>
          </w:rPr>
          <w:t xml:space="preserve">openproblems.bio</w:t>
        </w:r>
      </w:hyperlink>
      <w:r>
        <w:t xml:space="preserve">.</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16">
        <w:r>
          <w:rPr>
            <w:rStyle w:val="Hyperlink"/>
          </w:rPr>
          <w:t xml:space="preserve">jmlr.org/papers/v12/pedregosa11a.html</w:t>
        </w:r>
      </w:hyperlink>
      <w:r>
        <w:t xml:space="preserve">.</w:t>
      </w:r>
    </w:p>
    <w:p>
      <w:pPr>
        <w:pStyle w:val="Compact"/>
        <w:numPr>
          <w:ilvl w:val="0"/>
          <w:numId w:val="1008"/>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3">
        <w:r>
          <w:rPr>
            <w:rStyle w:val="Hyperlink"/>
          </w:rPr>
          <w:t xml:space="preserve">doi:10.1038/s41586-026-10689-z</w:t>
        </w:r>
      </w:hyperlink>
      <w:r>
        <w:t xml:space="preserve">.</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25">
        <w:r>
          <w:rPr>
            <w:rStyle w:val="Hyperlink"/>
          </w:rPr>
          <w:t xml:space="preserve">doi:10.64898/2026.07.16.738997</w:t>
        </w:r>
      </w:hyperlink>
      <w:r>
        <w:t xml:space="preserve">.</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28">
        <w:r>
          <w:rPr>
            <w:rStyle w:val="Hyperlink"/>
          </w:rPr>
          <w:t xml:space="preserve">doi:10.1038/s41591-023-02327-2</w:t>
        </w:r>
      </w:hyperlink>
      <w:r>
        <w:t xml:space="preserve">.</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72">
        <w:r>
          <w:rPr>
            <w:rStyle w:val="Hyperlink"/>
          </w:rPr>
          <w:t xml:space="preserve">doi:10.64898/2026.02.11.705358</w:t>
        </w:r>
      </w:hyperlink>
      <w:r>
        <w:t xml:space="preserve">.</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27">
        <w:r>
          <w:rPr>
            <w:rStyle w:val="Hyperlink"/>
          </w:rPr>
          <w:t xml:space="preserve">doi:10.1038/s41586-020-2922-4</w:t>
        </w:r>
      </w:hyperlink>
      <w:r>
        <w:t xml:space="preserve">.</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21">
        <w:r>
          <w:rPr>
            <w:rStyle w:val="Hyperlink"/>
          </w:rPr>
          <w:t xml:space="preserve">doi:10.15252/msb.20209620</w:t>
        </w:r>
      </w:hyperlink>
      <w:r>
        <w:t xml:space="preserve">.</w:t>
      </w:r>
    </w:p>
    <w:p>
      <w:pPr>
        <w:pStyle w:val="Compact"/>
        <w:numPr>
          <w:ilvl w:val="0"/>
          <w:numId w:val="1008"/>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18">
        <w:r>
          <w:rPr>
            <w:rStyle w:val="Hyperlink"/>
          </w:rPr>
          <w:t xml:space="preserve">doi:10.1242/dev.201873</w:t>
        </w:r>
      </w:hyperlink>
      <w:r>
        <w:t xml:space="preserve">.</w:t>
      </w:r>
    </w:p>
    <w:p>
      <w:pPr>
        <w:pStyle w:val="Compact"/>
        <w:numPr>
          <w:ilvl w:val="0"/>
          <w:numId w:val="1008"/>
        </w:numPr>
      </w:pPr>
      <w:r>
        <w:t xml:space="preserve">Munroe R. Standards.</w:t>
      </w:r>
      <w:r>
        <w:t xml:space="preserve"> </w:t>
      </w:r>
      <w:r>
        <w:rPr>
          <w:i/>
          <w:iCs/>
        </w:rPr>
        <w:t xml:space="preserve">xkcd</w:t>
      </w:r>
      <w:r>
        <w:t xml:space="preserve"> </w:t>
      </w:r>
      <w:r>
        <w:t xml:space="preserve">927.</w:t>
      </w:r>
      <w:r>
        <w:t xml:space="preserve"> </w:t>
      </w:r>
      <w:hyperlink r:id="rId11">
        <w:r>
          <w:rPr>
            <w:rStyle w:val="Hyperlink"/>
          </w:rPr>
          <w:t xml:space="preserve">xkcd.com/927</w:t>
        </w:r>
      </w:hyperlink>
      <w:r>
        <w:t xml:space="preserve">.</w:t>
      </w:r>
    </w:p>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hyperlink" Id="rId36" Target="https://chanzuckerberg.github.io/cellxgene-census/" TargetMode="External" /><Relationship Type="http://schemas.openxmlformats.org/officeDocument/2006/relationships/hyperlink" Id="rId78"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63"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79" Target="https://doi.org/10.5281/zenodo.20401417" TargetMode="External" /><Relationship Type="http://schemas.openxmlformats.org/officeDocument/2006/relationships/hyperlink" Id="rId77" Target="https://doi.org/10.5281/zenodo.21688150" TargetMode="External" /><Relationship Type="http://schemas.openxmlformats.org/officeDocument/2006/relationships/hyperlink" Id="rId76" Target="https://doi.org/10.5281/zenodo.21688151" TargetMode="External" /><Relationship Type="http://schemas.openxmlformats.org/officeDocument/2006/relationships/hyperlink" Id="rId72"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75"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2"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36" Target="https://chanzuckerberg.github.io/cellxgene-census/" TargetMode="External" /><Relationship Type="http://schemas.openxmlformats.org/officeDocument/2006/relationships/hyperlink" Id="rId78"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63"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79" Target="https://doi.org/10.5281/zenodo.20401417" TargetMode="External" /><Relationship Type="http://schemas.openxmlformats.org/officeDocument/2006/relationships/hyperlink" Id="rId77" Target="https://doi.org/10.5281/zenodo.21688150" TargetMode="External" /><Relationship Type="http://schemas.openxmlformats.org/officeDocument/2006/relationships/hyperlink" Id="rId76" Target="https://doi.org/10.5281/zenodo.21688151" TargetMode="External" /><Relationship Type="http://schemas.openxmlformats.org/officeDocument/2006/relationships/hyperlink" Id="rId72"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75"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2"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13-method benchmark and practical low-memory workflows, with actinn-jax</dc:title>
  <dc:creator>Ian Driver</dc:creator>
  <cp:keywords/>
  <dcterms:created xsi:type="dcterms:W3CDTF">2026-08-07T11:36:39Z</dcterms:created>
  <dcterms:modified xsi:type="dcterms:W3CDTF">2026-08-07T11:36:39Z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thirteen 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 six datasets (within-dataset, cross-dataset and cross-study; 8 to 86 cell types) plus a five-point scaling sweep to 49k reference cells, measuring accuracy, macro-F1, ontology-aware concordance, training and inference time, and peak memory on commodity Apple-Silicon hardware. Accuracy differences among the leading methods are small; their cost differences are not. The top of the accuracy table is a four-way cluster spanning 0.008 (0.831–0.839), led by a carefully preprocessed linear pipeline (normalize → ANOVA → PCA → logistic regression, 0.839) rather than by a deep model, with scANVI, scArches and actinn-jax (0.831) alongside it. Those same four methods differ by ~130× in inference time (0.34 s to 89 s) and 2.4× in peak memory (1.8 to 4.3 GB). The linear pipeline is the most accurate-per-second option on laptop-sized data, fitting 7× faster than actinn-jax (3.0 vs. 21.9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(OP) label_projection, whose datasets, metrics and ranking we did not choose. We report the results as a decision aid (accuracy-per-second, accuracy-per-byte, and behaviour from 3k to 49k reference cells), then use actinn-jax to demonstrate end-to-end workflows that a low, flat cost profile makes practical, on human data and — via a hierarchy derived from the Cell Ontology, which removes the GPU step from building a reference — on mouse: annotating an unknown human dataset from a shipped census-scale reference (~800 cell types, calibrated abstain) with no training; tissue-aware refinement that halves spurious cross-tissue labels on a liver query; a broad→refined hand-off to a small focused reference (held-out cross-study liver 0.23/0.58 → 0.72/0.86, exact-match / Cell-Ontology-aware);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 Pan-human Azimuth ships a pretrained, calibrated, hierarchical pan-human annotator that runs on a laptop — a better-resourced broad pass than ours, and one we can distill into a broad-pass model of comparable accuracy at ~9×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