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key-points"/>
    <w:p>
      <w:pPr>
        <w:pStyle w:val="Heading1"/>
      </w:pPr>
      <w:r>
        <w:t xml:space="preserve">Key Points</w:t>
      </w:r>
    </w:p>
    <w:p>
      <w:pPr>
        <w:pStyle w:val="Compact"/>
        <w:numPr>
          <w:ilvl w:val="0"/>
          <w:numId w:val="1001"/>
        </w:numPr>
      </w:pPr>
      <w:r>
        <w:t xml:space="preserve">Among leading annotation methods, accuracy differences are small (top four within 0.008)</w:t>
      </w:r>
      <w:r>
        <w:t xml:space="preserve"> </w:t>
      </w:r>
      <w:r>
        <w:t xml:space="preserve">while predict time differs by ~205× and peak memory by 2.5×.</w:t>
      </w:r>
    </w:p>
    <w:p>
      <w:pPr>
        <w:pStyle w:val="Compact"/>
        <w:numPr>
          <w:ilvl w:val="0"/>
          <w:numId w:val="1001"/>
        </w:numPr>
      </w:pPr>
      <w:r>
        <w:t xml:space="preserve">Rankings are not stable: a prototype VAE moves from worst to best as the reference grows</w:t>
      </w:r>
      <w:r>
        <w:t xml:space="preserve"> </w:t>
      </w:r>
      <w:r>
        <w:t xml:space="preserve">from 3k to 49k cells, and a tuned linear pipeline that fits faster than a gene-space MLP on</w:t>
      </w:r>
      <w:r>
        <w:t xml:space="preserve"> </w:t>
      </w:r>
      <w:r>
        <w:t xml:space="preserve">one panel costs 2.7× more on another with a narrower feature budget.</w:t>
      </w:r>
    </w:p>
    <w:p>
      <w:pPr>
        <w:pStyle w:val="Compact"/>
        <w:numPr>
          <w:ilvl w:val="0"/>
          <w:numId w:val="1001"/>
        </w:numPr>
      </w:pPr>
      <w:r>
        <w:t xml:space="preserve">Predict is sub-second for every CPU method tested and flat in reference size for all of</w:t>
      </w:r>
      <w:r>
        <w:t xml:space="preserve"> </w:t>
      </w:r>
      <w:r>
        <w:t xml:space="preserve">them; what makes chaining stages practical is the ratio, a sub-second call recurring against</w:t>
      </w:r>
      <w:r>
        <w:t xml:space="preserve"> </w:t>
      </w:r>
      <w:r>
        <w:t xml:space="preserve">a fit of 19–123 s paid once.</w:t>
      </w:r>
    </w:p>
    <w:p>
      <w:pPr>
        <w:pStyle w:val="Compact"/>
        <w:numPr>
          <w:ilvl w:val="0"/>
          <w:numId w:val="1001"/>
        </w:numPr>
      </w:pPr>
      <w:r>
        <w:t xml:space="preserve">A pretrained pan-human annotator was distilled into an actinn-jax reference that matches</w:t>
      </w:r>
      <w:r>
        <w:t xml:space="preserve"> </w:t>
      </w:r>
      <w:r>
        <w:t xml:space="preserve">its concordance at 6–9× the throughput and beats a census-built reference. The distillation</w:t>
      </w:r>
      <w:r>
        <w:t xml:space="preserve"> </w:t>
      </w:r>
      <w:r>
        <w:t xml:space="preserve">used unlabelled data and no GPU.</w:t>
      </w:r>
    </w:p>
    <w:p>
      <w:pPr>
        <w:pStyle w:val="Compact"/>
        <w:numPr>
          <w:ilvl w:val="0"/>
          <w:numId w:val="1001"/>
        </w:numPr>
      </w:pPr>
      <w:r>
        <w:t xml:space="preserve">Running three independent broad references over one query and grouping cells by whether</w:t>
      </w:r>
      <w:r>
        <w:t xml:space="preserve"> </w:t>
      </w:r>
      <w:r>
        <w:t xml:space="preserve">the three agree separates reliable calls from unreliable ones, in all three tissues tested:</w:t>
      </w:r>
      <w:r>
        <w:t xml:space="preserve"> </w:t>
      </w:r>
      <w:r>
        <w:t xml:space="preserve">where the references concur, every one of them is far more accurate than where they do not.</w:t>
      </w:r>
      <w:r>
        <w:t xml:space="preserve"> </w:t>
      </w:r>
      <w:r>
        <w:t xml:space="preserve">The agreeing set covers 23% to 94% of a query, tracking the resolution of that query’s own</w:t>
      </w:r>
      <w:r>
        <w:t xml:space="preserve"> </w:t>
      </w:r>
      <w:r>
        <w:t xml:space="preserve">annotation. 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beats the best single reference in none of the three.</w:t>
      </w:r>
    </w:p>
    <w:bookmarkEnd w:id="9"/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cells by mapping to a labeled reference is run constantly and rarely reported as a</w:t>
      </w:r>
      <w:r>
        <w:t xml:space="preserve"> </w:t>
      </w:r>
      <w:r>
        <w:t xml:space="preserve">cost. Existing comparisons [Abdelaal 2019, Fu 2024] emphasize accuracy; the axis that decides</w:t>
      </w:r>
      <w:r>
        <w:t xml:space="preserve"> </w:t>
      </w:r>
      <w:r>
        <w:t xml:space="preserve">what runs on a laptop — wall-clock and memory without a GPU — is usually absent. Foundation</w:t>
      </w:r>
      <w:r>
        <w:t xml:space="preserve"> </w:t>
      </w:r>
      <w:r>
        <w:t xml:space="preserve">models</w:t>
      </w:r>
      <w:r>
        <w:t xml:space="preserve"> </w:t>
      </w:r>
      <w:hyperlink r:id="rId10">
        <w:r>
          <w:rPr>
            <w:rStyle w:val="Hyperlink"/>
          </w:rPr>
          <w:t xml:space="preserve">[Kalfon 2025]</w:t>
        </w:r>
      </w:hyperlink>
      <w:r>
        <w:t xml:space="preserve"> </w:t>
      </w:r>
      <w:r>
        <w:t xml:space="preserve">raise accuracy in some settings but need accelerators, and their</w:t>
      </w:r>
      <w:r>
        <w:t xml:space="preserve"> </w:t>
      </w:r>
      <w:r>
        <w:t xml:space="preserve">zero-shot label predictions underperform small models trained on curated references.</w:t>
      </w:r>
    </w:p>
    <w:p>
      <w:pPr>
        <w:pStyle w:val="BodyText"/>
      </w:pPr>
      <w:r>
        <w:t xml:space="preserve">That reporting gap matters more than a missing column, because annotation in practice is not</w:t>
      </w:r>
      <w:r>
        <w:t xml:space="preserve"> </w:t>
      </w:r>
      <w:r>
        <w:t xml:space="preserve">one decision. A working analysis asks what broad compartments are present, which tissue the</w:t>
      </w:r>
      <w:r>
        <w:t xml:space="preserve"> </w:t>
      </w:r>
      <w:r>
        <w:t xml:space="preserve">query resembles, how the cells resolve against a reference matched to that tissue, whether</w:t>
      </w:r>
      <w:r>
        <w:t xml:space="preserve"> </w:t>
      </w:r>
      <w:r>
        <w:t xml:space="preserve">anything is present that no reference describes, and how much of the answer to believe. Each</w:t>
      </w:r>
      <w:r>
        <w:t xml:space="preserve"> </w:t>
      </w:r>
      <w:r>
        <w:t xml:space="preserve">of those is a reference call. When a call costs minutes, the workflow collapses to a single</w:t>
      </w:r>
      <w:r>
        <w:t xml:space="preserve"> </w:t>
      </w:r>
      <w:r>
        <w:t xml:space="preserve">pass against a single reference chosen in advance; when it costs a fraction of a second,</w:t>
      </w:r>
      <w:r>
        <w:t xml:space="preserve"> </w:t>
      </w:r>
      <w:r>
        <w:t xml:space="preserve">running several references and comparing them becomes ordinary. The benchmark below is</w:t>
      </w:r>
      <w:r>
        <w:t xml:space="preserve"> </w:t>
      </w:r>
      <w:r>
        <w:t xml:space="preserve">therefore a means rather than an end: it establishes that the accuracy differences among the</w:t>
      </w:r>
      <w:r>
        <w:t xml:space="preserve"> </w:t>
      </w:r>
      <w:r>
        <w:t xml:space="preserve">leading methods are small and the cost differences are not, which is what licenses spending</w:t>
      </w:r>
      <w:r>
        <w:t xml:space="preserve"> </w:t>
      </w:r>
      <w:r>
        <w:t xml:space="preserve">the budget on more passes instead of on a better single pass.</w:t>
      </w:r>
    </w:p>
    <w:p>
      <w:pPr>
        <w:pStyle w:val="BodyText"/>
      </w:pPr>
      <w:r>
        <w:t xml:space="preserve">Concurrent work sharpens the question rather than settling it.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hyperlink r:id="rId11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is a supervised hierarchical classifier over a harmonized</w:t>
      </w:r>
      <w:r>
        <w:t xml:space="preserve"> </w:t>
      </w:r>
      <w:r>
        <w:t xml:space="preserve">organism-wide typology — 8 levels, 382 leaf types, ~7M parameters over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thresholded</w:t>
      </w:r>
      <w:r>
        <w:t xml:space="preserve"> </w:t>
      </w:r>
      <w:r>
        <w:t xml:space="preserve">(expected calibration error 0.0044) — and runs on a laptop. It is better resourced than any</w:t>
      </w:r>
      <w:r>
        <w:t xml:space="preserve"> </w:t>
      </w:r>
      <w:r>
        <w:t xml:space="preserve">reference we could build, and its authors reach a conclusion parallel to ours: training-data</w:t>
      </w:r>
      <w:r>
        <w:t xml:space="preserve"> </w:t>
      </w:r>
      <w:r>
        <w:t xml:space="preserve">quality and organization matter as much as architecture or scale, with accuracy saturating</w:t>
      </w:r>
      <w:r>
        <w:t xml:space="preserve"> </w:t>
      </w:r>
      <w:r>
        <w:t xml:space="preserve">past ~5M training cells. A purpose-built pan-human model is therefore the right thing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from; the open question is what to do next, since no fixed typology can re-annotate</w:t>
      </w:r>
      <w:r>
        <w:t xml:space="preserve"> </w:t>
      </w:r>
      <w:r>
        <w:t xml:space="preserve">into a user’s own label set or resolve states below its own leaves.</w:t>
      </w:r>
    </w:p>
    <w:p>
      <w:pPr>
        <w:pStyle w:val="BodyText"/>
      </w:pPr>
      <w:r>
        <w:t xml:space="preserve">Because a benchmark written by a method’s own author has a known failure mode, the comparison</w:t>
      </w:r>
      <w:r>
        <w:t xml:space="preserve"> </w:t>
      </w:r>
      <w:r>
        <w:t xml:space="preserve">was constrained by construction: every method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 through one harness on</w:t>
      </w:r>
      <w:r>
        <w:t xml:space="preserve"> </w:t>
      </w:r>
      <w:r>
        <w:t xml:space="preserve">identical splits; the panel was chosen to include the baselines most likely to beat a small</w:t>
      </w:r>
      <w:r>
        <w:t xml:space="preserve"> </w:t>
      </w:r>
      <w:r>
        <w:t xml:space="preserve">MLP, and each of them does beat it somewhere; our own classical tier is left untuned while the</w:t>
      </w:r>
      <w:r>
        <w:t xml:space="preserve"> </w:t>
      </w:r>
      <w:r>
        <w:t xml:space="preserve">linear baseline is tuned; and the external validation uses a benchmark designed by others.</w:t>
      </w:r>
    </w:p>
    <w:bookmarkEnd w:id="12"/>
    <w:bookmarkStart w:id="15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actinn-jax.</w:t>
      </w:r>
      <w:r>
        <w:t xml:space="preserve"> </w:t>
      </w:r>
      <w:r>
        <w:t xml:space="preserve">A dependency-light JAX reimplementation of ACTINN</w:t>
      </w:r>
      <w:r>
        <w:t xml:space="preserve"> </w:t>
      </w:r>
      <w:hyperlink r:id="rId13">
        <w:r>
          <w:rPr>
            <w:rStyle w:val="Hyperlink"/>
          </w:rPr>
          <w:t xml:space="preserve">[Ma &amp; Pellegrini 2020]</w:t>
        </w:r>
      </w:hyperlink>
      <w:r>
        <w:t xml:space="preserve"> </w:t>
      </w:r>
      <w:r>
        <w:t xml:space="preserve">— a</w:t>
      </w:r>
      <w:r>
        <w:t xml:space="preserve"> </w:t>
      </w:r>
      <w:r>
        <w:t xml:space="preserve">4-layer network (100/50/25 hidden units, ReLU, softmax, Adam) — replacing TensorFlow-1.x</w:t>
      </w:r>
      <w:r>
        <w:t xml:space="preserve"> </w:t>
      </w:r>
      <w:r>
        <w:t xml:space="preserve">graph/session code that no longer installs on current Python and ML environments. Preprocessing is</w:t>
      </w:r>
      <w:r>
        <w:t xml:space="preserve"> </w:t>
      </w:r>
      <w:r>
        <w:t xml:space="preserve">sparse-aware; a fitted reference is cached and reused across queries; prediction is chunked</w:t>
      </w:r>
      <w:r>
        <w:t xml:space="preserve"> </w:t>
      </w:r>
      <w:r>
        <w:t xml:space="preserve">for atlas-scale inputs. Accuracy matches the original within repeat noise.</w:t>
      </w:r>
    </w:p>
    <w:p>
      <w:pPr>
        <w:pStyle w:val="BodyText"/>
      </w:pPr>
      <w:r>
        <w:rPr>
          <w:b/>
          <w:bCs/>
        </w:rPr>
        <w:t xml:space="preserve">Panel and datasets.</w:t>
      </w:r>
      <w:r>
        <w:t xml:space="preserve"> </w:t>
      </w:r>
      <w:r>
        <w:t xml:space="preserve">Thirteen methods (Supplementary Table S1) across eight splits of seven</w:t>
      </w:r>
      <w:r>
        <w:t xml:space="preserve"> </w:t>
      </w:r>
      <w:r>
        <w:t xml:space="preserve">datasets (Supplementary Table S2): lung within-dataset and cross-dataset, liver within-dataset</w:t>
      </w:r>
      <w:r>
        <w:t xml:space="preserve"> </w:t>
      </w:r>
      <w:r>
        <w:t xml:space="preserve">and cross-</w:t>
      </w:r>
      <w:r>
        <w:rPr>
          <w:b/>
          <w:bCs/>
        </w:rPr>
        <w:t xml:space="preserve">study</w:t>
      </w:r>
      <w:r>
        <w:t xml:space="preserve">, an 86-type blood+gut set, PBMC, and Allen middle temporal gyrus nuclei at</w:t>
      </w:r>
      <w:r>
        <w:t xml:space="preserve"> </w:t>
      </w:r>
      <w:r>
        <w:t xml:space="preserve">two levels of one taxonomy — 8 to 151 cell types, spanning three generalization regimes.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Accuracy, macro-F1, and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, which credits a call that</w:t>
      </w:r>
      <w:r>
        <w:t xml:space="preserve"> </w:t>
      </w:r>
      <w:r>
        <w:t xml:space="preserve">is the same node, an ancestor or a descendant of the truth in the Cell Ontology. The last is</w:t>
      </w:r>
      <w:r>
        <w:t xml:space="preserve"> </w:t>
      </w:r>
      <w:r>
        <w:t xml:space="preserve">required because vocabularies disagree about granularity: on our cross-dataset lung split</w:t>
      </w:r>
      <w:r>
        <w:t xml:space="preserve"> </w:t>
      </w:r>
      <w:r>
        <w:t xml:space="preserve">reference and query share only 20 of 46 type names, so exact-match accuracy (~0.35 for every method)</w:t>
      </w:r>
      <w:r>
        <w:t xml:space="preserve"> </w:t>
      </w:r>
      <w:r>
        <w:t xml:space="preserve">measures vocabulary mismatch rather than transfer. Concordance is reported only where both</w:t>
      </w:r>
      <w:r>
        <w:t xml:space="preserve"> </w:t>
      </w:r>
      <w:r>
        <w:t xml:space="preserve">sides carry ontology ids.</w:t>
      </w:r>
    </w:p>
    <w:p>
      <w:pPr>
        <w:pStyle w:val="BodyText"/>
      </w:pPr>
      <w:r>
        <w:rPr>
          <w:b/>
          <w:bCs/>
        </w:rPr>
        <w:t xml:space="preserve">Agreement between references.</w:t>
      </w:r>
      <w:r>
        <w:t xml:space="preserve"> </w:t>
      </w:r>
      <w:r>
        <w:t xml:space="preserve">Three broad annotators answer in three different</w:t>
      </w:r>
      <w:r>
        <w:t xml:space="preserve"> </w:t>
      </w:r>
      <w:r>
        <w:t xml:space="preserve">vocabularies, so agreement is defined in the Cell Ontology, where all three map: two calls</w:t>
      </w:r>
      <w:r>
        <w:t xml:space="preserve"> </w:t>
      </w:r>
      <w:r>
        <w:t xml:space="preserve">agree when they are the same term or one is an ancestor of the other — the same relation the</w:t>
      </w:r>
      <w:r>
        <w:t xml:space="preserve"> </w:t>
      </w:r>
      <w:r>
        <w:t xml:space="preserve">concordance metric uses. Cells are partitioned by how many of the three mutually agree.</w:t>
      </w:r>
    </w:p>
    <w:p>
      <w:pPr>
        <w:pStyle w:val="BodyText"/>
      </w:pPr>
      <w:r>
        <w:rPr>
          <w:b/>
          <w:bCs/>
        </w:rPr>
        <w:t xml:space="preserve">Execution.</w:t>
      </w:r>
      <w:r>
        <w:t xml:space="preserve"> </w:t>
      </w:r>
      <w:r>
        <w:t xml:space="preserve">Each method runs in its own environment as a separate process, because the</w:t>
      </w:r>
      <w:r>
        <w:t xml:space="preserve"> </w:t>
      </w:r>
      <w:r>
        <w:t xml:space="preserve">dependency sets are mutually unsatisfiable; one driver builds each split once from a fixed</w:t>
      </w:r>
      <w:r>
        <w:t xml:space="preserve"> </w:t>
      </w:r>
      <w:r>
        <w:t xml:space="preserve">seed and hands the identical pair to every method. Three repeats. Hardware: Apple Silicon,</w:t>
      </w:r>
      <w:r>
        <w:t xml:space="preserve"> </w:t>
      </w:r>
      <w:r>
        <w:t xml:space="preserve">CPU for classical/linear/correlation tiers, Apple MPS for deep and foundation tiers.</w:t>
      </w:r>
      <w:r>
        <w:t xml:space="preserve"> </w:t>
      </w:r>
      <w:r>
        <w:t xml:space="preserve">External validation runs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through Open Problems’ own Nextflow pipeline.</w:t>
      </w:r>
      <w:r>
        <w:t xml:space="preserve"> </w:t>
      </w:r>
      <w:r>
        <w:t xml:space="preserve">Because wall-clock on a shared machine depends on co-scheduled load, cost is reported from the</w:t>
      </w:r>
      <w:r>
        <w:t xml:space="preserve"> </w:t>
      </w:r>
      <w:r>
        <w:t xml:space="preserve">fastest of three runs on an otherwise idle machine, and external cost as a ratio to a method</w:t>
      </w:r>
      <w:r>
        <w:t xml:space="preserve"> </w:t>
      </w:r>
      <w:r>
        <w:t xml:space="preserve">present in every run. Environments are pinned and the Cell Ontology release is recorded.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carries the scaling studies (Figures S5–S7),</w:t>
      </w:r>
      <w:r>
        <w:t xml:space="preserve"> </w:t>
      </w:r>
      <w:r>
        <w:t xml:space="preserve">the abstention sweep (Figures S8–S9), confusion matrices and per-class recall (Figures S1–S4),</w:t>
      </w:r>
      <w:r>
        <w:t xml:space="preserve"> </w:t>
      </w:r>
      <w:r>
        <w:t xml:space="preserve">and Tables S1–S3.</w:t>
      </w:r>
    </w:p>
    <w:p>
      <w:pPr>
        <w:pStyle w:val="BodyText"/>
      </w:pPr>
      <w:r>
        <w:rPr>
          <w:b/>
          <w:bCs/>
        </w:rPr>
        <w:t xml:space="preserve">Workflow components.</w:t>
      </w:r>
      <w:r>
        <w:t xml:space="preserve"> </w:t>
      </w:r>
      <w:r>
        <w:t xml:space="preserve">A broad reference built from the CELLxGENE Census</w:t>
      </w:r>
      <w:r>
        <w:t xml:space="preserve"> </w:t>
      </w:r>
      <w:hyperlink r:id="rId14">
        <w:r>
          <w:rPr>
            <w:rStyle w:val="Hyperlink"/>
          </w:rPr>
          <w:t xml:space="preserve">[CZI Census 2025]</w:t>
        </w:r>
      </w:hyperlink>
      <w:r>
        <w:t xml:space="preserve">;</w:t>
      </w:r>
      <w:r>
        <w:t xml:space="preserve"> </w:t>
      </w:r>
      <w:r>
        <w:t xml:space="preserve">a coarse→fine hierarchy obtained either from foundation-model embeddings or from Cell Ontology</w:t>
      </w:r>
      <w:r>
        <w:t xml:space="preserve"> </w:t>
      </w:r>
      <w:r>
        <w:t xml:space="preserve">lineage; confidence-threshold abstention calibrated per reference by withholding 10% of cell</w:t>
      </w:r>
      <w:r>
        <w:t xml:space="preserve"> </w:t>
      </w:r>
      <w:r>
        <w:t xml:space="preserve">types; masking-based refinement to a query’s own supported classes or to a tissue; and a</w:t>
      </w:r>
      <w:r>
        <w:t xml:space="preserve"> </w:t>
      </w:r>
      <w:r>
        <w:t xml:space="preserve">cluster-level novelty screen. Protocols for each are documented in the benchmark</w:t>
      </w:r>
      <w:r>
        <w:t xml:space="preserve"> </w:t>
      </w:r>
      <w:r>
        <w:t xml:space="preserve">repository.</w:t>
      </w:r>
    </w:p>
    <w:bookmarkEnd w:id="15"/>
    <w:bookmarkStart w:id="31" w:name="results"/>
    <w:p>
      <w:pPr>
        <w:pStyle w:val="Heading1"/>
      </w:pPr>
      <w:r>
        <w:t xml:space="preserve">Results</w:t>
      </w:r>
    </w:p>
    <w:bookmarkStart w:id="19" w:name="accuracy-is-clustered-cost-is-not"/>
    <w:p>
      <w:pPr>
        <w:pStyle w:val="Heading2"/>
      </w:pPr>
      <w:r>
        <w:t xml:space="preserve">Accuracy is clustered; cost is not</w:t>
      </w:r>
    </w:p>
    <w:p>
      <w:pPr>
        <w:pStyle w:val="FirstParagraph"/>
      </w:pPr>
      <w:r>
        <w:t xml:space="preserve">The top of the accuracy table is a four-way cluster spanning</w:t>
      </w:r>
      <w:r>
        <w:t xml:space="preserve"> </w:t>
      </w:r>
      <w:r>
        <w:rPr>
          <w:b/>
          <w:bCs/>
        </w:rPr>
        <w:t xml:space="preserve">0.008</w:t>
      </w:r>
      <w:r>
        <w:t xml:space="preserve">, led by a tuned linear</w:t>
      </w:r>
      <w:r>
        <w:t xml:space="preserve"> </w:t>
      </w:r>
      <w:r>
        <w:t xml:space="preserve">pipeline rather than by a deep model (Table 1; Figure 1 draws the whole panel at once). Those same four differ by</w:t>
      </w:r>
      <w:r>
        <w:t xml:space="preserve"> </w:t>
      </w:r>
      <w:r>
        <w:rPr>
          <w:b/>
          <w:bCs/>
        </w:rPr>
        <w:t xml:space="preserve">~205× in 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(0.33 s to 67 s) and</w:t>
      </w:r>
      <w:r>
        <w:t xml:space="preserve"> </w:t>
      </w:r>
      <w:r>
        <w:rPr>
          <w:b/>
          <w:bCs/>
        </w:rPr>
        <w:t xml:space="preserve">2.5× in peak memory</w:t>
      </w:r>
      <w:r>
        <w:t xml:space="preserve">. Order within the cluster is not a result:</w:t>
      </w:r>
      <w:r>
        <w:t xml:space="preserve"> </w:t>
      </w:r>
      <w:r>
        <w:t xml:space="preserve">the stochastic methods move by more than 0.008 between identical reruns, scANVI by up to</w:t>
      </w:r>
      <w:r>
        <w:t xml:space="preserve"> </w:t>
      </w:r>
      <w:r>
        <w:t xml:space="preserve">0.056, so the four are best read as tied on accuracy and separated by cost. actinn-jax holds</w:t>
      </w:r>
      <w:r>
        <w:t xml:space="preserve"> </w:t>
      </w:r>
      <w:r>
        <w:t xml:space="preserve">the best ontology-aware concordance (0.811), likewise a margin inside repeat noise.</w:t>
      </w:r>
    </w:p>
    <w:p>
      <w:pPr>
        <w:pStyle w:val="BodyText"/>
      </w:pPr>
      <w:r>
        <w:drawing>
          <wp:inline>
            <wp:extent cx="5334000" cy="2668748"/>
            <wp:effectExtent b="0" l="0" r="0" t="0"/>
            <wp:docPr descr="accuracy and cost across every split" title="" id="1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 gap to whichever method</w:t>
      </w:r>
      <w:r>
        <w:t xml:space="preserve"> </w:t>
      </w:r>
      <w:r>
        <w:t xml:space="preserve">leads that split — raw accuracy is dominated by split difficulty (0.94 on pbmc against 0.36 on</w:t>
      </w:r>
      <w:r>
        <w:t xml:space="preserve"> </w:t>
      </w:r>
      <w:r>
        <w:t xml:space="preserve">cross-dataset lung), so a range over it would measure the datasets rather than the methods;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splits won.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splits. Diamonds are means, dots</w:t>
      </w:r>
      <w:r>
        <w:t xml:space="preserve"> </w:t>
      </w:r>
      <w:r>
        <w:t xml:space="preserve">the individual splits, lines run worst to best. 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</w:t>
      </w:r>
      <w:r>
        <w:t xml:space="preserve"> </w:t>
      </w:r>
      <w:r>
        <w:t xml:space="preserve">per-split leader while spanning 3.4 s to 57 s. Every method’s spread across splits is wider</w:t>
      </w:r>
      <w:r>
        <w:t xml:space="preserve"> </w:t>
      </w:r>
      <w:r>
        <w:t xml:space="preserve">than the distance between the leading methods, which is the caution that belongs with any</w:t>
      </w:r>
      <w:r>
        <w:t xml:space="preserve"> </w:t>
      </w:r>
      <w:r>
        <w:t xml:space="preserve">panel-mean ranking. Repeat-to-repeat variation is far smaller — five methods are exactly</w:t>
      </w:r>
      <w:r>
        <w:t xml:space="preserve"> </w:t>
      </w:r>
      <w:r>
        <w:t xml:space="preserve">deterministic, and only scANVI (0.056) and scArches (0.020) move more than 0.009 — so the</w:t>
      </w:r>
      <w:r>
        <w:t xml:space="preserve"> </w:t>
      </w:r>
      <w:r>
        <w:t xml:space="preserve">range drawn here is across datasets. Per-split detail: Supplementary Figure S11.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and cost. Accuracy is the mean over the five shared-vocabulary</w:t>
      </w:r>
      <w:r>
        <w:t xml:space="preserve"> </w:t>
      </w:r>
      <w:r>
        <w:t xml:space="preserve">datasets, macro-F1 over all six, and ontology concordance over the four that carry Cell</w:t>
      </w:r>
      <w:r>
        <w:t xml:space="preserve"> </w:t>
      </w:r>
      <w:r>
        <w:t xml:space="preserve">Ontology ids; bold marks the best value in a column. The two brain splits are held out of</w:t>
      </w:r>
      <w:r>
        <w:t xml:space="preserve"> </w:t>
      </w:r>
      <w:r>
        <w:t xml:space="preserve">these means — they were measured after this pass — and reported per dataset instead;</w:t>
      </w:r>
      <w:r>
        <w:t xml:space="preserve"> </w:t>
      </w:r>
      <w:r>
        <w:t xml:space="preserve">including both would move actinn-jax from fourth to fifth, behind CellTypist. *scANVI does most of its work in one train+predict pass, attributed to predict.</w:t>
      </w:r>
      <w:r>
        <w:t xml:space="preserve"> </w:t>
      </w:r>
      <w:r>
        <w:t xml:space="preserve">Per-dataset scores: Supplementary Table S3.</w:t>
      </w:r>
    </w:p>
    <w:p>
      <w:pPr>
        <w:pStyle w:val="BodyText"/>
      </w:pPr>
      <w:r>
        <w:t xml:space="preserve">Neither ordering is stable. Carrying four methods from a 3k-cell reference to a full atlas</w:t>
      </w:r>
      <w:r>
        <w:t xml:space="preserve"> </w:t>
      </w:r>
      <w:r>
        <w:t xml:space="preserve">reverses the accuracy ranking — a prototype VAE moves from worst to best — and the external</w:t>
      </w:r>
      <w:r>
        <w:t xml:space="preserve"> </w:t>
      </w:r>
      <w:r>
        <w:t xml:space="preserve">Open Problems panel, whose 1,000-gene budget is narrower than ours, reverses the cost ranking,</w:t>
      </w:r>
      <w:r>
        <w:t xml:space="preserve"> </w:t>
      </w:r>
      <w:r>
        <w:t xml:space="preserve">with the tuned linear pipeline costing 2.7× more than it does here (Supplementary Figure S6,</w:t>
      </w:r>
      <w:r>
        <w:t xml:space="preserve"> </w:t>
      </w:r>
      <w:r>
        <w:t xml:space="preserve">and the extended report).</w:t>
      </w:r>
    </w:p>
    <w:p>
      <w:pPr>
        <w:pStyle w:val="BodyText"/>
      </w:pPr>
      <w:r>
        <w:t xml:space="preserve">Granularity moves it too, and against us. The same Allen middle temporal gyrus nuclei scored at</w:t>
      </w:r>
      <w:r>
        <w:t xml:space="preserve"> </w:t>
      </w:r>
      <w:r>
        <w:t xml:space="preserve">two levels of one taxonomy behave like two different benchmarks: at Allen’s 24 subclasses ten</w:t>
      </w:r>
      <w:r>
        <w:t xml:space="preserve"> </w:t>
      </w:r>
      <w:r>
        <w:t xml:space="preserve">of the eleven methods land within 0.017 of each other, and at the 151 cell sets the taxonomy</w:t>
      </w:r>
      <w:r>
        <w:t xml:space="preserve"> </w:t>
      </w:r>
      <w:r>
        <w:t xml:space="preserve">enumerates the ranking inverts — SingleR, eighth overall, leads at</w:t>
      </w:r>
      <w:r>
        <w:t xml:space="preserve"> </w:t>
      </w:r>
      <w:r>
        <w:rPr>
          <w:b/>
          <w:bCs/>
        </w:rPr>
        <w:t xml:space="preserve">0.845</w:t>
      </w:r>
      <w:r>
        <w:t xml:space="preserve">, while actinn-jax</w:t>
      </w:r>
      <w:r>
        <w:t xml:space="preserve"> </w:t>
      </w:r>
      <w:r>
        <w:t xml:space="preserve">falls to tenth at</w:t>
      </w:r>
      <w:r>
        <w:t xml:space="preserve"> </w:t>
      </w:r>
      <w:r>
        <w:rPr>
          <w:b/>
          <w:bCs/>
        </w:rPr>
        <w:t xml:space="preserve">0.741</w:t>
      </w:r>
      <w:r>
        <w:t xml:space="preserve">. Correlation-to-centroid methods gain exactly where the trained</w:t>
      </w:r>
      <w:r>
        <w:t xml:space="preserve"> </w:t>
      </w:r>
      <w:r>
        <w:t xml:space="preserve">classifiers lose, helped by the fact that cluster-level labels are themselves the output of</w:t>
      </w:r>
      <w:r>
        <w:t xml:space="preserve"> </w:t>
      </w:r>
      <w:r>
        <w:t xml:space="preserve">clustering the same expression space. One split is a signal, not a characterization, but it is</w:t>
      </w:r>
      <w:r>
        <w:t xml:space="preserve"> </w:t>
      </w:r>
      <w:r>
        <w:t xml:space="preserve">the one split in this panel at the resolution a cortical taxonomy actually works at.</w:t>
      </w:r>
    </w:p>
    <w:p>
      <w:pPr>
        <w:pStyle w:val="BodyText"/>
      </w:pPr>
      <w:r>
        <w:t xml:space="preserve">Prediction is where the annotation budget is actually spent, and it is small: sub-second for</w:t>
      </w:r>
      <w:r>
        <w:t xml:space="preserve"> </w:t>
      </w:r>
      <w:r>
        <w:t xml:space="preserve">every CPU method tested, and flat in reference size for all of them, since a cached model’s</w:t>
      </w:r>
      <w:r>
        <w:t xml:space="preserve"> </w:t>
      </w:r>
      <w:r>
        <w:t xml:space="preserve">inference does not depend on how many cells trained it. What makes chaining stages practical</w:t>
      </w:r>
      <w:r>
        <w:t xml:space="preserve"> </w:t>
      </w:r>
      <w:r>
        <w:t xml:space="preserve">is therefore not a uniquely flat predict but the ratio — a sub-second call recurring against a</w:t>
      </w:r>
      <w:r>
        <w:t xml:space="preserve"> </w:t>
      </w:r>
      <w:r>
        <w:t xml:space="preserve">fit of 19–123 s that is paid once (Supplementary Figure S7). With the reference held fixed,</w:t>
      </w:r>
      <w:r>
        <w:t xml:space="preserve"> </w:t>
      </w:r>
      <w:r>
        <w:t xml:space="preserve">annotating a whole 525,000-cell atlas takes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(Supplementary Figure S8).</w:t>
      </w:r>
    </w:p>
    <w:bookmarkEnd w:id="19"/>
    <w:bookmarkStart w:id="23" w:name="X80fed2e78f71a1f8f859e9647ae1a67fdba3c16"/>
    <w:p>
      <w:pPr>
        <w:pStyle w:val="Heading2"/>
      </w:pPr>
      <w:r>
        <w:t xml:space="preserve">One query, two passes: routing and then resolution</w:t>
      </w:r>
    </w:p>
    <w:p>
      <w:pPr>
        <w:pStyle w:val="FirstParagraph"/>
      </w:pPr>
      <w:r>
        <w:t xml:space="preserve">That budget buys a workflow rather than a call (Figure 2). A ~800-type census</w:t>
      </w:r>
      <w:r>
        <w:t xml:space="preserve"> </w:t>
      </w:r>
      <w:r>
        <w:t xml:space="preserve">reference annotates any query without being told what tissue it is; resolving those calls</w:t>
      </w:r>
      <w:r>
        <w:t xml:space="preserve"> </w:t>
      </w:r>
      <w:r>
        <w:t xml:space="preserve">through the reference’s per-class tissue map identifies the tissue; a small focused reference</w:t>
      </w:r>
      <w:r>
        <w:t xml:space="preserve"> </w:t>
      </w:r>
      <w:r>
        <w:t xml:space="preserve">for that tissue then re-annotates the same cells at full resolution. On withheld cross-study</w:t>
      </w:r>
      <w:r>
        <w:t xml:space="preserve"> </w:t>
      </w:r>
      <w:r>
        <w:t xml:space="preserve">liver cells the broad pass scores</w:t>
      </w:r>
      <w:r>
        <w:t xml:space="preserve"> </w:t>
      </w:r>
      <w:r>
        <w:rPr>
          <w:b/>
          <w:bCs/>
        </w:rPr>
        <w:t xml:space="preserve">0.23 exact / 0.58 ontology</w:t>
      </w:r>
      <w:r>
        <w:t xml:space="preserve"> </w:t>
      </w:r>
      <w:r>
        <w:t xml:space="preserve">and the focused reference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</w:t>
      </w:r>
    </w:p>
    <w:p>
      <w:pPr>
        <w:pStyle w:val="BodyText"/>
      </w:pPr>
      <w:r>
        <w:t xml:space="preserve">The two passes hand off; they do not combine. Substituting a stronger broad model lifts the</w:t>
      </w:r>
      <w:r>
        <w:t xml:space="preserve"> </w:t>
      </w:r>
      <w:r>
        <w:t xml:space="preserve">broad call but changes nothing downstream, and using it to narrow the focused pass’s classes</w:t>
      </w:r>
      <w:r>
        <w:t xml:space="preserve"> </w:t>
      </w:r>
      <w:r>
        <w:t xml:space="preserve">makes 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(0.731 → 0.708), because a wrong mask discards the correct class</w:t>
      </w:r>
      <w:r>
        <w:t xml:space="preserve"> </w:t>
      </w:r>
      <w:r>
        <w:t xml:space="preserve">outright. Once the focused reference covers the tissue, the broad model’s value is routing,</w:t>
      </w:r>
      <w:r>
        <w:t xml:space="preserve"> </w:t>
      </w:r>
      <w:r>
        <w:t xml:space="preserve">not resolution.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workflow" title="" id="2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workflow on a withheld liver study (3,396 cells), same embedding</w:t>
      </w:r>
      <w:r>
        <w:t xml:space="preserve"> </w:t>
      </w:r>
      <w:r>
        <w:t xml:space="preserve">throughout. The census reference spreads 144 of its 798 labels over the query (concordance</w:t>
      </w:r>
      <w:r>
        <w:t xml:space="preserve"> </w:t>
      </w:r>
      <w:r>
        <w:t xml:space="preserve">0.34); resolving those calls to tissue gives</w:t>
      </w:r>
      <w:r>
        <w:t xml:space="preserve"> </w:t>
      </w:r>
      <w:r>
        <w:rPr>
          <w:b/>
          <w:bCs/>
        </w:rPr>
        <w:t xml:space="preserve">76% liver</w:t>
      </w:r>
      <w:r>
        <w:t xml:space="preserve"> </w:t>
      </w:r>
      <w:r>
        <w:t xml:space="preserve">against 4% for the next candidate,</w:t>
      </w:r>
      <w:r>
        <w:t xml:space="preserve"> </w:t>
      </w:r>
      <w:r>
        <w:t xml:space="preserve">which selects the reference to load; the 36-type liver reference then re-annotates the same</w:t>
      </w:r>
      <w:r>
        <w:t xml:space="preserve"> </w:t>
      </w:r>
      <w:r>
        <w:t xml:space="preserve">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tracking the clusters. Rightmost panel is the study’s own labels.</w:t>
      </w:r>
    </w:p>
    <w:bookmarkEnd w:id="23"/>
    <w:bookmarkStart w:id="24" w:name="X4b2d42acec3b76f689a683a66890b5330678ad6"/>
    <w:p>
      <w:pPr>
        <w:pStyle w:val="Heading2"/>
      </w:pPr>
      <w:r>
        <w:t xml:space="preserve">The broad entry point is interchangeable, and one can be distilled without a GPU</w:t>
      </w:r>
    </w:p>
    <w:p>
      <w:pPr>
        <w:pStyle w:val="FirstParagraph"/>
      </w:pPr>
      <w:r>
        <w:t xml:space="preserve">Building a broad reference from the census requires a foundation model on a GPU to discover</w:t>
      </w:r>
      <w:r>
        <w:t xml:space="preserve"> </w:t>
      </w:r>
      <w:r>
        <w:t xml:space="preserve">its hierarchy. A pretrained pan-human annotator</w:t>
      </w:r>
      <w:r>
        <w:t xml:space="preserve"> </w:t>
      </w:r>
      <w:hyperlink r:id="rId11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already publishes one, so</w:t>
      </w:r>
      <w:r>
        <w:t xml:space="preserve"> </w:t>
      </w:r>
      <w:r>
        <w:t xml:space="preserve">labeling a corpus with it and training on those labels transfers both vocabulary and</w:t>
      </w:r>
      <w:r>
        <w:t xml:space="preserve"> </w:t>
      </w:r>
      <w:r>
        <w:t xml:space="preserve">structure — using</w:t>
      </w:r>
      <w:r>
        <w:t xml:space="preserve"> </w:t>
      </w:r>
      <w:r>
        <w:rPr>
          <w:b/>
          <w:bCs/>
        </w:rPr>
        <w:t xml:space="preserve">only raw counts</w:t>
      </w:r>
      <w:r>
        <w:t xml:space="preserve">, no GPU and no labeled input, in under ten minutes of</w:t>
      </w:r>
      <w:r>
        <w:t xml:space="preserve"> </w:t>
      </w:r>
      <w:r>
        <w:t xml:space="preserve">CPU. The result matches its teacher and beats our census-built reference, at six to nine times</w:t>
      </w:r>
      <w:r>
        <w:t xml:space="preserve"> </w:t>
      </w:r>
      <w:r>
        <w:t xml:space="preserve">the teacher’s throughput (Table 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(teacher)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from Azimuth,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Broad-pass entry points on 3,396 withheld cross-study liver cells, all three</w:t>
      </w:r>
      <w:r>
        <w:t xml:space="preserve"> </w:t>
      </w:r>
      <w:r>
        <w:t xml:space="preserve">scored on identical cells through one script. The distilled student needs only raw human</w:t>
      </w:r>
      <w:r>
        <w:t xml:space="preserve"> </w:t>
      </w:r>
      <w:r>
        <w:t xml:space="preserve">counts to build and inherits the teacher’s vocabulary and hierarchy. It does not inherit the</w:t>
      </w:r>
      <w:r>
        <w:t xml:space="preserve"> </w:t>
      </w:r>
      <w:r>
        <w:t xml:space="preserve">teacher’s calibrated abstention, which remains a limitation. Student and teacher are level</w:t>
      </w:r>
      <w:r>
        <w:t xml:space="preserve"> </w:t>
      </w:r>
      <w:r>
        <w:t xml:space="preserve">here rather than separated: read the distillation as preserving the teacher’s annotations at a</w:t>
      </w:r>
      <w:r>
        <w:t xml:space="preserve"> </w:t>
      </w:r>
      <w:r>
        <w:t xml:space="preserve">fraction of its cost, not as improving on them.</w:t>
      </w:r>
    </w:p>
    <w:p>
      <w:pPr>
        <w:pStyle w:val="BodyText"/>
      </w:pPr>
      <w:r>
        <w:t xml:space="preserve">The GPU can be removed from the census route as well. Deriving the coarse hierarchy from Cell</w:t>
      </w:r>
      <w:r>
        <w:t xml:space="preserve"> </w:t>
      </w:r>
      <w:r>
        <w:t xml:space="preserve">Ontology lineage rather than from a foundation-model embedding beats both no hierarchy at all</w:t>
      </w:r>
      <w:r>
        <w:t xml:space="preserve"> </w:t>
      </w:r>
      <w:r>
        <w:t xml:space="preserve">(0.616 vs 0.547) and a same-sized random grouping (0.539), so it is the lineage structure and</w:t>
      </w:r>
      <w:r>
        <w:t xml:space="preserve"> </w:t>
      </w:r>
      <w:r>
        <w:t xml:space="preserve">not the mere act of splitting that helps. Being species-independent, that route also reaches a</w:t>
      </w:r>
      <w:r>
        <w:t xml:space="preserve"> </w:t>
      </w:r>
      <w:r>
        <w:t xml:space="preserve">second organism: a pan-mouse reference of 453 types across 85 tissues reaches 0.638 ontology</w:t>
      </w:r>
      <w:r>
        <w:t xml:space="preserve"> </w:t>
      </w:r>
      <w:r>
        <w:t xml:space="preserve">concordance on two withheld datasets after 17 s of CPU.</w:t>
      </w:r>
    </w:p>
    <w:bookmarkEnd w:id="24"/>
    <w:bookmarkStart w:id="29" w:name="X5d5a48a3482289717abb7130a8b6298d60e6610"/>
    <w:p>
      <w:pPr>
        <w:pStyle w:val="Heading2"/>
      </w:pPr>
      <w:r>
        <w:t xml:space="preserve">Where independent references agree, all of them are right more often</w:t>
      </w:r>
    </w:p>
    <w:p>
      <w:pPr>
        <w:pStyle w:val="FirstParagraph"/>
      </w:pPr>
      <w:r>
        <w:t xml:space="preserve">The three entry points are interchangeable, so we ran all of them over the same query. Scored</w:t>
      </w:r>
      <w:r>
        <w:t xml:space="preserve"> </w:t>
      </w:r>
      <w:r>
        <w:t xml:space="preserve">on identical cells and compared in the Cell Ontology, they partition each query by agreement</w:t>
      </w:r>
      <w:r>
        <w:t xml:space="preserve"> </w:t>
      </w:r>
      <w:r>
        <w:t xml:space="preserve">(Figure 3). We ran this on three tissues:</w:t>
      </w:r>
      <w:r>
        <w:t xml:space="preserve"> </w:t>
      </w:r>
      <w:r>
        <w:t xml:space="preserve">withheld cross-study</w:t>
      </w:r>
      <w:r>
        <w:t xml:space="preserve"> </w:t>
      </w:r>
      <w:r>
        <w:rPr>
          <w:b/>
          <w:bCs/>
        </w:rPr>
        <w:t xml:space="preserve">liver</w:t>
      </w:r>
      <w:r>
        <w:t xml:space="preserve"> </w:t>
      </w:r>
      <w:r>
        <w:t xml:space="preserve">(3,396 cells, 34 truth types), the Krasnow</w:t>
      </w:r>
      <w:r>
        <w:t xml:space="preserve"> </w:t>
      </w:r>
      <w:r>
        <w:rPr>
          <w:b/>
          <w:bCs/>
        </w:rPr>
        <w:t xml:space="preserve">lung</w:t>
      </w:r>
      <w:r>
        <w:t xml:space="preserve"> </w:t>
      </w:r>
      <w:r>
        <w:t xml:space="preserve">atlas</w:t>
      </w:r>
      <w:r>
        <w:t xml:space="preserve"> </w:t>
      </w:r>
      <w:r>
        <w:t xml:space="preserve">(65,662 cells, 46 types), and the Allen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(156,285 cells, 18</w:t>
      </w:r>
      <w:r>
        <w:t xml:space="preserve"> </w:t>
      </w:r>
      <w:r>
        <w:t xml:space="preserve">types).</w:t>
      </w:r>
    </w:p>
    <w:p>
      <w:pPr>
        <w:pStyle w:val="BodyText"/>
      </w:pPr>
      <w:r>
        <w:t xml:space="preserve">One result holds everywhere. Cells on which the references disagree are annotated far less</w:t>
      </w:r>
      <w:r>
        <w:t xml:space="preserve"> </w:t>
      </w:r>
      <w:r>
        <w:t xml:space="preserve">reliably than cells on which they concur, for every reference and in every tissue: the census</w:t>
      </w:r>
      <w:r>
        <w:t xml:space="preserve"> </w:t>
      </w:r>
      <w:r>
        <w:t xml:space="preserve">model falls from 0.690 to 0.212 across the liver partition, 0.934 to 0.059 across lung, and</w:t>
      </w:r>
      <w:r>
        <w:t xml:space="preserve"> </w:t>
      </w:r>
      <w:r>
        <w:t xml:space="preserve">0.839 to 0.117 across brain, with the same direction for the other two. Because all three</w:t>
      </w:r>
      <w:r>
        <w:t xml:space="preserve"> </w:t>
      </w:r>
      <w:r>
        <w:t xml:space="preserve">improve together, agreement is selecting cells that are unambiguous rather than cells that one</w:t>
      </w:r>
      <w:r>
        <w:t xml:space="preserve"> </w:t>
      </w:r>
      <w:r>
        <w:t xml:space="preserve">model happens to get right — and unlike accuracy it is computable on a query whose answers are</w:t>
      </w:r>
      <w:r>
        <w:t xml:space="preserve"> </w:t>
      </w:r>
      <w:r>
        <w:t xml:space="preserve">unknown, for three sub-second calls and no labels.</w:t>
      </w:r>
    </w:p>
    <w:p>
      <w:pPr>
        <w:pStyle w:val="BodyText"/>
      </w:pPr>
      <w:r>
        <w:t xml:space="preserve">What varies, and varies enormously, is how much of a query the agreeing set covers:</w:t>
      </w:r>
      <w:r>
        <w:t xml:space="preserve"> </w:t>
      </w:r>
      <w:r>
        <w:rPr>
          <w:b/>
          <w:bCs/>
        </w:rPr>
        <w:t xml:space="preserve">23% on</w:t>
      </w:r>
      <w:r>
        <w:rPr>
          <w:b/>
          <w:bCs/>
        </w:rPr>
        <w:t xml:space="preserve"> </w:t>
      </w:r>
      <w:r>
        <w:rPr>
          <w:b/>
          <w:bCs/>
        </w:rPr>
        <w:t xml:space="preserve">liver, 48% on lung, 94% on brain</w:t>
      </w:r>
      <w:r>
        <w:t xml:space="preserve">. The brain figure is the instructive one. That query’s Cell</w:t>
      </w:r>
      <w:r>
        <w:t xml:space="preserve"> </w:t>
      </w:r>
      <w:r>
        <w:t xml:space="preserve">Ontology annotation uses 18 terms for a region whose own working taxonomy,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</w:t>
      </w:r>
      <w:r>
        <w:t xml:space="preserve"> </w:t>
      </w:r>
      <w:r>
        <w:t xml:space="preserve">defines 154 cell sets, and 55% of its cells fall in a single class. High agreement there</w:t>
      </w:r>
      <w:r>
        <w:t xml:space="preserve"> </w:t>
      </w:r>
      <w:r>
        <w:t xml:space="preserve">reflects a coarse truth vocabulary rather than an easy tissue, and it shows the partition</w:t>
      </w:r>
      <w:r>
        <w:t xml:space="preserve"> </w:t>
      </w:r>
      <w:r>
        <w:t xml:space="preserve">reporting the resolution of the annotation it is scored against — which is a property of the</w:t>
      </w:r>
      <w:r>
        <w:t xml:space="preserve"> </w:t>
      </w:r>
      <w:r>
        <w:t xml:space="preserve">query, not of the method.</w:t>
      </w:r>
    </w:p>
    <w:p>
      <w:pPr>
        <w:pStyle w:val="BodyText"/>
      </w:pPr>
      <w:r>
        <w:t xml:space="preserve">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three. Taking the most specific call the</w:t>
      </w:r>
      <w:r>
        <w:t xml:space="preserve"> </w:t>
      </w:r>
      <w:r>
        <w:t xml:space="preserve">agreeing references support scores 0.365 on liver against the best single reference’s 0.408,</w:t>
      </w:r>
      <w:r>
        <w:t xml:space="preserve"> </w:t>
      </w:r>
      <w:r>
        <w:t xml:space="preserve">0.828 on lung against 0.831, and 0.837 on brain against 0.987 — the last badly worse, because</w:t>
      </w:r>
      <w:r>
        <w:t xml:space="preserve"> </w:t>
      </w:r>
      <w:r>
        <w:t xml:space="preserve">choosing the deepest agreeing call lets one reference’s confident, lineage-compatible but</w:t>
      </w:r>
      <w:r>
        <w:t xml:space="preserve"> </w:t>
      </w:r>
      <w:r>
        <w:t xml:space="preserve">wrong specificity override two correct coarser calls. Running several references does not</w:t>
      </w:r>
      <w:r>
        <w:t xml:space="preserve"> </w:t>
      </w:r>
      <w:r>
        <w:t xml:space="preserve">produce a better annotation; it tells you which annotations to trust.</w:t>
      </w:r>
    </w:p>
    <w:p>
      <w:pPr>
        <w:pStyle w:val="BodyText"/>
      </w:pPr>
      <w:r>
        <w:t xml:space="preserve">What counts as agreement is the ontology’s judgment rather than ours, and the comparison was</w:t>
      </w:r>
      <w:r>
        <w:t xml:space="preserve"> </w:t>
      </w:r>
      <w:r>
        <w:t xml:space="preserve">possible only because all three references carry Cell Ontology terms. The Common Cell type</w:t>
      </w:r>
      <w:r>
        <w:t xml:space="preserve"> </w:t>
      </w:r>
      <w:r>
        <w:t xml:space="preserve">Nomenclature</w:t>
      </w:r>
      <w:r>
        <w:t xml:space="preserve"> </w:t>
      </w:r>
      <w:hyperlink r:id="rId25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answers the same problem differently, giving each taxonomy’s cell</w:t>
      </w:r>
      <w:r>
        <w:t xml:space="preserve"> </w:t>
      </w:r>
      <w:r>
        <w:t xml:space="preserve">sets stable accessions and a curated alias layer rather than a shared coordinate system. The</w:t>
      </w:r>
      <w:r>
        <w:t xml:space="preserve"> </w:t>
      </w:r>
      <w:r>
        <w:t xml:space="preserve">two are complements, not substitutes: in the published human MTG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the</w:t>
      </w:r>
      <w:r>
        <w:t xml:space="preserve"> </w:t>
      </w:r>
      <w:r>
        <w:t xml:space="preserve">154 cell sets carry an anatomical tag but no cell-type ontology id, and the field that matches</w:t>
      </w:r>
      <w:r>
        <w:t xml:space="preserve"> </w:t>
      </w:r>
      <w:r>
        <w:t xml:space="preserve">cell sets across taxonomies is filled for 23 of them. CL supplies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</w:t>
      </w:r>
      <w:r>
        <w:t xml:space="preserve"> </w:t>
      </w:r>
      <w:r>
        <w:t xml:space="preserve">relation that makes an agreement partition computable; CCN supplies the provenance CL cannot,</w:t>
      </w:r>
      <w:r>
        <w:t xml:space="preserve"> </w:t>
      </w:r>
      <w:r>
        <w:t xml:space="preserve">recording which taxonomy and publication each label came from. A workflow that compares</w:t>
      </w:r>
      <w:r>
        <w:t xml:space="preserve"> </w:t>
      </w:r>
      <w:r>
        <w:t xml:space="preserve">annotations across references wants both.</w:t>
      </w:r>
    </w:p>
    <w:p>
      <w:pPr>
        <w:pStyle w:val="BodyText"/>
      </w:pPr>
      <w:r>
        <w:drawing>
          <wp:inline>
            <wp:extent cx="5334000" cy="1663557"/>
            <wp:effectExtent b="0" l="0" r="0" t="0"/>
            <wp:docPr descr="reference agreement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sensu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Ontology concordance within each agreement tier for three broad references, on</w:t>
      </w:r>
      <w:r>
        <w:t xml:space="preserve"> </w:t>
      </w:r>
      <w:r>
        <w:t xml:space="preserve">withheld cross-study liver (</w:t>
      </w:r>
      <w:r>
        <w:rPr>
          <w:i/>
          <w:iCs/>
        </w:rPr>
        <w:t xml:space="preserve">A</w:t>
      </w:r>
      <w:r>
        <w:t xml:space="preserve">), the Krasnow lung atlas (</w:t>
      </w:r>
      <w:r>
        <w:rPr>
          <w:i/>
          <w:iCs/>
        </w:rPr>
        <w:t xml:space="preserve">B</w:t>
      </w:r>
      <w:r>
        <w:t xml:space="preserve">) and the Allen human middle</w:t>
      </w:r>
      <w:r>
        <w:t xml:space="preserve"> </w:t>
      </w:r>
      <w:r>
        <w:t xml:space="preserve">temporal gyrus (</w:t>
      </w:r>
      <w:r>
        <w:rPr>
          <w:i/>
          <w:iCs/>
        </w:rPr>
        <w:t xml:space="preserve">C</w:t>
      </w:r>
      <w:r>
        <w:t xml:space="preserve">); dashed lines are the same models over the whole query. Agreement is</w:t>
      </w:r>
      <w:r>
        <w:t xml:space="preserve"> </w:t>
      </w:r>
      <w:r>
        <w:t xml:space="preserve">evaluated in the Cell Ontology because the three references answer in different vocabularies</w:t>
      </w:r>
      <w:r>
        <w:t xml:space="preserve"> </w:t>
      </w:r>
      <w:r>
        <w:t xml:space="preserve">(798, 382 and 324 classes). The ordering is the same in all three tissues; the fraction of</w:t>
      </w:r>
      <w:r>
        <w:t xml:space="preserve"> </w:t>
      </w:r>
      <w:r>
        <w:t xml:space="preserve">cells on which the references agree is not, and tracks how finely the query’s own annotation</w:t>
      </w:r>
      <w:r>
        <w:t xml:space="preserve"> </w:t>
      </w:r>
      <w:r>
        <w:t xml:space="preserve">is resolved.</w:t>
      </w:r>
    </w:p>
    <w:bookmarkEnd w:id="29"/>
    <w:bookmarkStart w:id="30" w:name="Xc9c7bad4aecd06c09d0d5feaca47a6a3c3e0f37"/>
    <w:p>
      <w:pPr>
        <w:pStyle w:val="Heading2"/>
      </w:pPr>
      <w:r>
        <w:t xml:space="preserve">Abstention is tunable; zero-shot labels are not competitive</w:t>
      </w:r>
    </w:p>
    <w:p>
      <w:pPr>
        <w:pStyle w:val="FirstParagraph"/>
      </w:pPr>
      <w:r>
        <w:t xml:space="preserve">Withholding 9 of 36 cell types entirely and sweeping a confidence threshold over the eight</w:t>
      </w:r>
      <w:r>
        <w:t xml:space="preserve"> </w:t>
      </w:r>
      <w:r>
        <w:t xml:space="preserve">methods that return a per-cell confidence, five trade coverage for accuracy across the range</w:t>
      </w:r>
      <w:r>
        <w:t xml:space="preserve"> </w:t>
      </w:r>
      <w:r>
        <w:t xml:space="preserve">and three do not: CellTypist’s probabilities are saturated and give one operating point</w:t>
      </w:r>
      <w:r>
        <w:t xml:space="preserve"> </w:t>
      </w:r>
      <w:r>
        <w:t xml:space="preserve">instead of a curve, scTOP’s projection score keeps only 6% of the query at p ≥ 0.5, and</w:t>
      </w:r>
      <w:r>
        <w:t xml:space="preserve"> </w:t>
      </w:r>
      <w:r>
        <w:t xml:space="preserve">ProtoCloud’s ambiguity flag is flat until 0.9 (Supplementary Figures S8–S9). Among the five</w:t>
      </w:r>
      <w:r>
        <w:t xml:space="preserve"> </w:t>
      </w:r>
      <w:r>
        <w:t xml:space="preserve">that work, abstain quality does not separate them — actinn-jax and scArches are effectively</w:t>
      </w:r>
      <w:r>
        <w:t xml:space="preserve"> </w:t>
      </w:r>
      <w:r>
        <w:t xml:space="preserve">tied (0.969 accuracy on 66% of cells with 73% of novel cells flagged, against 0.983 on 61%</w:t>
      </w:r>
      <w:r>
        <w:t xml:space="preserve"> </w:t>
      </w:r>
      <w:r>
        <w:t xml:space="preserve">with 71%) — but cost does, at 0.54 s of predict time against 17.2 s. This is a second and</w:t>
      </w:r>
      <w:r>
        <w:t xml:space="preserve"> </w:t>
      </w:r>
      <w:r>
        <w:t xml:space="preserve">complementary route to the same end as reference agreement: a calibrated threshold within one</w:t>
      </w:r>
      <w:r>
        <w:t xml:space="preserve"> </w:t>
      </w:r>
      <w:r>
        <w:t xml:space="preserve">reference, or concurrence across several with no calibration at all.</w:t>
      </w:r>
    </w:p>
    <w:p>
      <w:pPr>
        <w:pStyle w:val="BodyText"/>
      </w:pPr>
      <w:r>
        <w:t xml:space="preserve">Separately, a foundation model run zero-shot scored</w:t>
      </w:r>
      <w:r>
        <w:t xml:space="preserve"> </w:t>
      </w:r>
      <w:r>
        <w:rPr>
          <w:b/>
          <w:bCs/>
        </w:rPr>
        <w:t xml:space="preserve">0.201</w:t>
      </w:r>
      <w:r>
        <w:t xml:space="preserve"> </w:t>
      </w:r>
      <w:r>
        <w:t xml:space="preserve">ontology concordance against</w:t>
      </w:r>
      <w:r>
        <w:t xml:space="preserve"> </w:t>
      </w:r>
      <w:r>
        <w:t xml:space="preserve">0.917 for a reference-trained model on the same cells, taking ~280× longer — reproduced</w:t>
      </w:r>
      <w:r>
        <w:t xml:space="preserve"> </w:t>
      </w:r>
      <w:r>
        <w:t xml:space="preserve">independently on Open Problems, where zero-shot entries sit at the bottom of the leaderboard.</w:t>
      </w:r>
    </w:p>
    <w:bookmarkEnd w:id="30"/>
    <w:bookmarkEnd w:id="31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Across two independent benchmarks the same pattern holds: methods separated by less than a</w:t>
      </w:r>
      <w:r>
        <w:t xml:space="preserve"> </w:t>
      </w:r>
      <w:r>
        <w:t xml:space="preserve">percentage point of accuracy are separated by two orders of magnitude in cost, and neither</w:t>
      </w:r>
      <w:r>
        <w:t xml:space="preserve"> </w:t>
      </w:r>
      <w:r>
        <w:t xml:space="preserve">ordering is stable across reference size or feature budget. Reporting accuracy alone therefore</w:t>
      </w:r>
      <w:r>
        <w:t xml:space="preserve"> </w:t>
      </w:r>
      <w:r>
        <w:t xml:space="preserve">under-determines the choice of method, and reporting it from a single reference size can</w:t>
      </w:r>
      <w:r>
        <w:t xml:space="preserve"> </w:t>
      </w:r>
      <w:r>
        <w:t xml:space="preserve">invert the recommendation.</w:t>
      </w:r>
    </w:p>
    <w:p>
      <w:pPr>
        <w:pStyle w:val="BodyText"/>
      </w:pPr>
      <w:r>
        <w:t xml:space="preserve">The consequence we think matters most is not a ranking but a change in what an annotation</w:t>
      </w:r>
      <w:r>
        <w:t xml:space="preserve"> </w:t>
      </w:r>
      <w:r>
        <w:t xml:space="preserve">pipeline can afford to do. When a reference call costs a fraction of a second, the pipeline</w:t>
      </w:r>
      <w:r>
        <w:t xml:space="preserve"> </w:t>
      </w:r>
      <w:r>
        <w:t xml:space="preserve">stops being one classification and becomes a sequence of cheap ones: route the query to a</w:t>
      </w:r>
      <w:r>
        <w:t xml:space="preserve"> </w:t>
      </w:r>
      <w:r>
        <w:t xml:space="preserve">tissue, re-annotate against a reference matched to it, resolve states below the label, and ask</w:t>
      </w:r>
      <w:r>
        <w:t xml:space="preserve"> </w:t>
      </w:r>
      <w:r>
        <w:t xml:space="preserve">several independent references where they agree. Each step is unremarkable alone; together</w:t>
      </w:r>
      <w:r>
        <w:t xml:space="preserve"> </w:t>
      </w:r>
      <w:r>
        <w:t xml:space="preserve">they are what a user actually wants, and their feasibility is a cost property rather than an</w:t>
      </w:r>
      <w:r>
        <w:t xml:space="preserve"> </w:t>
      </w:r>
      <w:r>
        <w:t xml:space="preserve">accuracy property.</w:t>
      </w:r>
    </w:p>
    <w:p>
      <w:pPr>
        <w:pStyle w:val="BodyText"/>
      </w:pPr>
      <w:r>
        <w:t xml:space="preserve">The agreement result is the clearest case, and also the most honest about its limits. It buys</w:t>
      </w:r>
      <w:r>
        <w:t xml:space="preserve"> </w:t>
      </w:r>
      <w:r>
        <w:t xml:space="preserve">no better label — the consensus call loses to the best single reference — but it identifies,</w:t>
      </w:r>
      <w:r>
        <w:t xml:space="preserve"> </w:t>
      </w:r>
      <w:r>
        <w:t xml:space="preserve">with no ground truth at all, the fraction of a query on which independent references concur</w:t>
      </w:r>
      <w:r>
        <w:t xml:space="preserve"> </w:t>
      </w:r>
      <w:r>
        <w:t xml:space="preserve">and on which every one of them is markedly more often right. That is available to anyone</w:t>
      </w:r>
      <w:r>
        <w:t xml:space="preserve"> </w:t>
      </w:r>
      <w:r>
        <w:t xml:space="preserve">willing to run three annotators instead of one, which is only a reasonable thing to ask when</w:t>
      </w:r>
      <w:r>
        <w:t xml:space="preserve"> </w:t>
      </w:r>
      <w:r>
        <w:t xml:space="preserve">each takes under a second.</w:t>
      </w:r>
    </w:p>
    <w:p>
      <w:pPr>
        <w:pStyle w:val="BodyText"/>
      </w:pPr>
      <w:r>
        <w:t xml:space="preserve">We are explicit about what is not ours. ProtoCloud provides uncertainty, attribution and a</w:t>
      </w:r>
      <w:r>
        <w:t xml:space="preserve"> </w:t>
      </w:r>
      <w:r>
        <w:t xml:space="preserve">retraining-based refinement path, and becomes the most accurate method at atlas scale. A</w:t>
      </w:r>
      <w:r>
        <w:t xml:space="preserve"> </w:t>
      </w:r>
      <w:r>
        <w:t xml:space="preserve">purpose-built pan-human annotator is better resourced than our census-built reference, and our</w:t>
      </w:r>
      <w:r>
        <w:t xml:space="preserve"> </w:t>
      </w:r>
      <w:r>
        <w:t xml:space="preserve">distilled model matches rather than improves on it; we claim not better annotations but</w:t>
      </w:r>
      <w:r>
        <w:t xml:space="preserve"> </w:t>
      </w:r>
      <w:r>
        <w:t xml:space="preserve">cheaper ones that preserve its vocabulary and structure. What remains distinct is the hand-off</w:t>
      </w:r>
      <w:r>
        <w:t xml:space="preserve"> </w:t>
      </w:r>
      <w:r>
        <w:t xml:space="preserve">no fixed typology performs — re-annotation into a user’s own label set, resolution below a</w:t>
      </w:r>
      <w:r>
        <w:t xml:space="preserve"> </w:t>
      </w:r>
      <w:r>
        <w:t xml:space="preserve">typology’s leaves, and screening for what none of them claims — at a cost that keeps every</w:t>
      </w:r>
      <w:r>
        <w:t xml:space="preserve"> </w:t>
      </w:r>
      <w:r>
        <w:t xml:space="preserve">stage on the machine already on the desk.</w:t>
      </w:r>
    </w:p>
    <w:p>
      <w:pPr>
        <w:pStyle w:val="BodyText"/>
      </w:pPr>
      <w:r>
        <w:t xml:space="preserve">The main limitations are that the cross-method comparison is human-only and single</w:t>
      </w:r>
      <w:r>
        <w:t xml:space="preserve"> </w:t>
      </w:r>
      <w:r>
        <w:t xml:space="preserve">hardware-family; that our classical tier is untuned while the linear baseline is tuned, which</w:t>
      </w:r>
      <w:r>
        <w:t xml:space="preserve"> </w:t>
      </w:r>
      <w:r>
        <w:t xml:space="preserve">biases against our own method; that the distilled reference inherits a vocabulary but not its</w:t>
      </w:r>
      <w:r>
        <w:t xml:space="preserve"> </w:t>
      </w:r>
      <w:r>
        <w:t xml:space="preserve">teacher’s calibrated abstention; that the agreement result covers three tissues with three</w:t>
      </w:r>
      <w:r>
        <w:t xml:space="preserve"> </w:t>
      </w:r>
      <w:r>
        <w:t xml:space="preserve">references, so its direction is replicated but the size of the agreeing fraction is strongly</w:t>
      </w:r>
      <w:r>
        <w:t xml:space="preserve"> </w:t>
      </w:r>
      <w:r>
        <w:t xml:space="preserve">dependent on how finely the query is annotated; and that agreement is defined in the Cell</w:t>
      </w:r>
      <w:r>
        <w:t xml:space="preserve"> </w:t>
      </w:r>
      <w:r>
        <w:t xml:space="preserve">Ontology, whose subsumption judgments decide what counts as agreeing and whose resolution in</w:t>
      </w:r>
      <w:r>
        <w:t xml:space="preserve"> </w:t>
      </w:r>
      <w:r>
        <w:t xml:space="preserve">cortex is roughly a tenth of the working taxonomy’s. Full limitations are in the extended</w:t>
      </w:r>
      <w:r>
        <w:t xml:space="preserve"> </w:t>
      </w:r>
      <w:r>
        <w:t xml:space="preserve">report.</w:t>
      </w:r>
    </w:p>
    <w:bookmarkEnd w:id="32"/>
    <w:bookmarkStart w:id="55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34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5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36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37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CZI Cell Science Program. CZ CELLxGENE Discover Census, LTS release 2025-11-08.</w:t>
      </w:r>
      <w:r>
        <w:t xml:space="preserve"> </w:t>
      </w:r>
      <w:hyperlink r:id="rId14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38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39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40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41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42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10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43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4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45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3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25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6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47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8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11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49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50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51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52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53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54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4" Target="https://chanzuckerberg.github.io/cellxgene-census/" TargetMode="External" /><Relationship Type="http://schemas.openxmlformats.org/officeDocument/2006/relationships/hyperlink" Id="rId42" Target="https://doi.org/10.1016/j.xgen.2026.101217" TargetMode="External" /><Relationship Type="http://schemas.openxmlformats.org/officeDocument/2006/relationships/hyperlink" Id="rId43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1" Target="https://doi.org/10.1038/s41586-020-2922-4" TargetMode="External" /><Relationship Type="http://schemas.openxmlformats.org/officeDocument/2006/relationships/hyperlink" Id="rId35" Target="https://doi.org/10.1038/s41586-026-10627-z" TargetMode="External" /><Relationship Type="http://schemas.openxmlformats.org/officeDocument/2006/relationships/hyperlink" Id="rId48" Target="https://doi.org/10.1038/s41586-026-10689-z" TargetMode="External" /><Relationship Type="http://schemas.openxmlformats.org/officeDocument/2006/relationships/hyperlink" Id="rId45" Target="https://doi.org/10.1038/s41587-021-01001-7" TargetMode="External" /><Relationship Type="http://schemas.openxmlformats.org/officeDocument/2006/relationships/hyperlink" Id="rId36" Target="https://doi.org/10.1038/s41590-018-0276-y" TargetMode="External" /><Relationship Type="http://schemas.openxmlformats.org/officeDocument/2006/relationships/hyperlink" Id="rId49" Target="https://doi.org/10.1038/s41591-023-02327-2" TargetMode="External" /><Relationship Type="http://schemas.openxmlformats.org/officeDocument/2006/relationships/hyperlink" Id="rId41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39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38" Target="https://doi.org/10.1145/2939672.2939785" TargetMode="External" /><Relationship Type="http://schemas.openxmlformats.org/officeDocument/2006/relationships/hyperlink" Id="rId34" Target="https://doi.org/10.1186/s13059-019-1795-z" TargetMode="External" /><Relationship Type="http://schemas.openxmlformats.org/officeDocument/2006/relationships/hyperlink" Id="rId53" Target="https://doi.org/10.1242/dev.201873" TargetMode="External" /><Relationship Type="http://schemas.openxmlformats.org/officeDocument/2006/relationships/hyperlink" Id="rId52" Target="https://doi.org/10.15252/msb.20209620" TargetMode="External" /><Relationship Type="http://schemas.openxmlformats.org/officeDocument/2006/relationships/hyperlink" Id="rId50" Target="https://doi.org/10.64898/2026.02.11.705358" TargetMode="External" /><Relationship Type="http://schemas.openxmlformats.org/officeDocument/2006/relationships/hyperlink" Id="rId40" Target="https://doi.org/10.64898/2026.06.30.735539" TargetMode="External" /><Relationship Type="http://schemas.openxmlformats.org/officeDocument/2006/relationships/hyperlink" Id="rId11" Target="https://doi.org/10.64898/2026.07.16.738997" TargetMode="External" /><Relationship Type="http://schemas.openxmlformats.org/officeDocument/2006/relationships/hyperlink" Id="rId25" Target="https://doi.org/10.7554/eLife.59928" TargetMode="External" /><Relationship Type="http://schemas.openxmlformats.org/officeDocument/2006/relationships/hyperlink" Id="rId37" Target="https://github.com/jax-ml/jax" TargetMode="External" /><Relationship Type="http://schemas.openxmlformats.org/officeDocument/2006/relationships/hyperlink" Id="rId46" Target="https://openproblems.bio" TargetMode="External" /><Relationship Type="http://schemas.openxmlformats.org/officeDocument/2006/relationships/hyperlink" Id="rId33" Target="https://www.10xgenomics.com/datasets/3-k-pbm-cs-from-a-healthy-donor-1-standard-1-1-0" TargetMode="External" /><Relationship Type="http://schemas.openxmlformats.org/officeDocument/2006/relationships/hyperlink" Id="rId47" Target="https://www.jmlr.org/papers/v12/pedregosa11a.html" TargetMode="External" /><Relationship Type="http://schemas.openxmlformats.org/officeDocument/2006/relationships/hyperlink" Id="rId54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hanzuckerberg.github.io/cellxgene-census/" TargetMode="External" /><Relationship Type="http://schemas.openxmlformats.org/officeDocument/2006/relationships/hyperlink" Id="rId42" Target="https://doi.org/10.1016/j.xgen.2026.101217" TargetMode="External" /><Relationship Type="http://schemas.openxmlformats.org/officeDocument/2006/relationships/hyperlink" Id="rId43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1" Target="https://doi.org/10.1038/s41586-020-2922-4" TargetMode="External" /><Relationship Type="http://schemas.openxmlformats.org/officeDocument/2006/relationships/hyperlink" Id="rId35" Target="https://doi.org/10.1038/s41586-026-10627-z" TargetMode="External" /><Relationship Type="http://schemas.openxmlformats.org/officeDocument/2006/relationships/hyperlink" Id="rId48" Target="https://doi.org/10.1038/s41586-026-10689-z" TargetMode="External" /><Relationship Type="http://schemas.openxmlformats.org/officeDocument/2006/relationships/hyperlink" Id="rId45" Target="https://doi.org/10.1038/s41587-021-01001-7" TargetMode="External" /><Relationship Type="http://schemas.openxmlformats.org/officeDocument/2006/relationships/hyperlink" Id="rId36" Target="https://doi.org/10.1038/s41590-018-0276-y" TargetMode="External" /><Relationship Type="http://schemas.openxmlformats.org/officeDocument/2006/relationships/hyperlink" Id="rId49" Target="https://doi.org/10.1038/s41591-023-02327-2" TargetMode="External" /><Relationship Type="http://schemas.openxmlformats.org/officeDocument/2006/relationships/hyperlink" Id="rId41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39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38" Target="https://doi.org/10.1145/2939672.2939785" TargetMode="External" /><Relationship Type="http://schemas.openxmlformats.org/officeDocument/2006/relationships/hyperlink" Id="rId34" Target="https://doi.org/10.1186/s13059-019-1795-z" TargetMode="External" /><Relationship Type="http://schemas.openxmlformats.org/officeDocument/2006/relationships/hyperlink" Id="rId53" Target="https://doi.org/10.1242/dev.201873" TargetMode="External" /><Relationship Type="http://schemas.openxmlformats.org/officeDocument/2006/relationships/hyperlink" Id="rId52" Target="https://doi.org/10.15252/msb.20209620" TargetMode="External" /><Relationship Type="http://schemas.openxmlformats.org/officeDocument/2006/relationships/hyperlink" Id="rId50" Target="https://doi.org/10.64898/2026.02.11.705358" TargetMode="External" /><Relationship Type="http://schemas.openxmlformats.org/officeDocument/2006/relationships/hyperlink" Id="rId40" Target="https://doi.org/10.64898/2026.06.30.735539" TargetMode="External" /><Relationship Type="http://schemas.openxmlformats.org/officeDocument/2006/relationships/hyperlink" Id="rId11" Target="https://doi.org/10.64898/2026.07.16.738997" TargetMode="External" /><Relationship Type="http://schemas.openxmlformats.org/officeDocument/2006/relationships/hyperlink" Id="rId25" Target="https://doi.org/10.7554/eLife.59928" TargetMode="External" /><Relationship Type="http://schemas.openxmlformats.org/officeDocument/2006/relationships/hyperlink" Id="rId37" Target="https://github.com/jax-ml/jax" TargetMode="External" /><Relationship Type="http://schemas.openxmlformats.org/officeDocument/2006/relationships/hyperlink" Id="rId46" Target="https://openproblems.bio" TargetMode="External" /><Relationship Type="http://schemas.openxmlformats.org/officeDocument/2006/relationships/hyperlink" Id="rId33" Target="https://www.10xgenomics.com/datasets/3-k-pbm-cs-from-a-healthy-donor-1-standard-1-1-0" TargetMode="External" /><Relationship Type="http://schemas.openxmlformats.org/officeDocument/2006/relationships/hyperlink" Id="rId47" Target="https://www.jmlr.org/papers/v12/pedregosa11a.html" TargetMode="External" /><Relationship Type="http://schemas.openxmlformats.org/officeDocument/2006/relationships/hyperlink" Id="rId54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2026-08-18T14:49:07Z</dcterms:created>
  <dcterms:modified xsi:type="dcterms:W3CDTF">2026-08-18T14:49:07Z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