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S1–S11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run, so they cover sampling</w:t>
      </w:r>
      <w:r>
        <w:t xml:space="preserve"> </w:t>
      </w:r>
      <w:r>
        <w:t xml:space="preserve">of the query and not run-to-run variation.</w:t>
      </w:r>
    </w:p>
    <w:p>
      <w:pPr>
        <w:pStyle w:val="BodyText"/>
      </w:pPr>
      <w:r>
        <w:drawing>
          <wp:inline>
            <wp:extent cx="5334000" cy="3543185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with the reference fixed at 17,753 cells.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scANVI and scArches, whose repeats differ by up to 0.056 and 0.020.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2026-08-18T14:49:07Z</dcterms:created>
  <dcterms:modified xsi:type="dcterms:W3CDTF">2026-08-18T14:49:07Z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